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3760" w:rsidRPr="00D03760" w:rsidRDefault="00D03760" w:rsidP="00D03760">
      <w:pPr>
        <w:spacing w:line="520" w:lineRule="exact"/>
        <w:jc w:val="left"/>
        <w:rPr>
          <w:rFonts w:ascii="黑体" w:eastAsia="黑体" w:hAnsi="黑体"/>
          <w:sz w:val="32"/>
          <w:szCs w:val="32"/>
        </w:rPr>
      </w:pPr>
      <w:r>
        <w:rPr>
          <w:rFonts w:ascii="黑体" w:eastAsia="黑体" w:hAnsi="黑体" w:hint="eastAsia"/>
          <w:sz w:val="32"/>
          <w:szCs w:val="32"/>
        </w:rPr>
        <w:t>附件1</w:t>
      </w:r>
    </w:p>
    <w:p w:rsidR="00D03760" w:rsidRDefault="00D03760" w:rsidP="00D03760">
      <w:pPr>
        <w:spacing w:line="600" w:lineRule="exact"/>
        <w:jc w:val="center"/>
        <w:rPr>
          <w:rFonts w:ascii="方正小标宋简体" w:eastAsia="方正小标宋简体" w:hint="eastAsia"/>
          <w:sz w:val="44"/>
          <w:szCs w:val="44"/>
        </w:rPr>
      </w:pPr>
    </w:p>
    <w:p w:rsidR="009A28FC" w:rsidRDefault="00401542" w:rsidP="00D03760">
      <w:pPr>
        <w:spacing w:line="600" w:lineRule="exact"/>
        <w:jc w:val="center"/>
        <w:rPr>
          <w:rFonts w:ascii="方正小标宋简体" w:eastAsia="方正小标宋简体"/>
          <w:sz w:val="44"/>
          <w:szCs w:val="44"/>
        </w:rPr>
      </w:pPr>
      <w:r>
        <w:rPr>
          <w:rFonts w:ascii="方正小标宋简体" w:eastAsia="方正小标宋简体" w:hint="eastAsia"/>
          <w:sz w:val="44"/>
          <w:szCs w:val="44"/>
        </w:rPr>
        <w:t>人表皮生长因子受体</w:t>
      </w:r>
      <w:r>
        <w:rPr>
          <w:rFonts w:ascii="方正小标宋简体" w:eastAsia="方正小标宋简体"/>
          <w:sz w:val="44"/>
          <w:szCs w:val="44"/>
        </w:rPr>
        <w:t>2</w:t>
      </w:r>
      <w:r>
        <w:rPr>
          <w:rFonts w:ascii="方正小标宋简体" w:eastAsia="方正小标宋简体" w:hint="eastAsia"/>
          <w:sz w:val="44"/>
          <w:szCs w:val="44"/>
        </w:rPr>
        <w:t>基因扩增检测试剂注册审查指导原则（</w:t>
      </w:r>
      <w:r>
        <w:rPr>
          <w:rFonts w:ascii="方正小标宋简体" w:eastAsia="方正小标宋简体" w:hint="eastAsia"/>
          <w:sz w:val="44"/>
          <w:szCs w:val="44"/>
        </w:rPr>
        <w:t>202</w:t>
      </w:r>
      <w:r>
        <w:rPr>
          <w:rFonts w:ascii="方正小标宋简体" w:eastAsia="方正小标宋简体" w:hint="eastAsia"/>
          <w:sz w:val="44"/>
          <w:szCs w:val="44"/>
        </w:rPr>
        <w:t>6</w:t>
      </w:r>
      <w:r>
        <w:rPr>
          <w:rFonts w:ascii="方正小标宋简体" w:eastAsia="方正小标宋简体" w:hint="eastAsia"/>
          <w:sz w:val="44"/>
          <w:szCs w:val="44"/>
        </w:rPr>
        <w:t>年修订版）</w:t>
      </w:r>
    </w:p>
    <w:p w:rsidR="009A28FC" w:rsidRDefault="009A28FC" w:rsidP="00D03760">
      <w:pPr>
        <w:spacing w:line="600" w:lineRule="exact"/>
        <w:jc w:val="center"/>
        <w:rPr>
          <w:rFonts w:ascii="方正小标宋简体" w:eastAsia="方正小标宋简体"/>
          <w:sz w:val="44"/>
          <w:szCs w:val="44"/>
        </w:rPr>
      </w:pPr>
    </w:p>
    <w:p w:rsidR="009A28FC" w:rsidRDefault="00401542">
      <w:pPr>
        <w:spacing w:line="52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本指导原则旨在指导申请人对</w:t>
      </w:r>
      <w:r>
        <w:rPr>
          <w:rFonts w:ascii="Times New Roman" w:eastAsia="仿宋_GB2312" w:hAnsi="Times New Roman" w:hint="eastAsia"/>
          <w:sz w:val="32"/>
          <w:szCs w:val="32"/>
        </w:rPr>
        <w:t>人表皮生长因子受体</w:t>
      </w:r>
      <w:r>
        <w:rPr>
          <w:rFonts w:ascii="Times New Roman" w:eastAsia="仿宋_GB2312" w:hAnsi="Times New Roman" w:hint="eastAsia"/>
          <w:sz w:val="32"/>
          <w:szCs w:val="32"/>
        </w:rPr>
        <w:t>2</w:t>
      </w:r>
      <w:r>
        <w:rPr>
          <w:rFonts w:ascii="Times New Roman" w:eastAsia="仿宋_GB2312" w:hAnsi="Times New Roman" w:hint="eastAsia"/>
          <w:sz w:val="32"/>
          <w:szCs w:val="32"/>
        </w:rPr>
        <w:t>基因扩增检测试剂盒（荧光原位杂交法）</w:t>
      </w:r>
      <w:r>
        <w:rPr>
          <w:rFonts w:ascii="Times New Roman" w:eastAsia="仿宋_GB2312" w:hAnsi="Times New Roman"/>
          <w:sz w:val="32"/>
          <w:szCs w:val="32"/>
        </w:rPr>
        <w:t>注册申报资料的准备及撰写，同时也为技术审评部门对注册申报资料的技术审评提供参考。</w:t>
      </w:r>
    </w:p>
    <w:p w:rsidR="009A28FC" w:rsidRDefault="00401542">
      <w:pPr>
        <w:spacing w:line="52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本指导原则是对</w:t>
      </w:r>
      <w:r>
        <w:rPr>
          <w:rFonts w:ascii="Times New Roman" w:eastAsia="仿宋_GB2312" w:hAnsi="Times New Roman" w:hint="eastAsia"/>
          <w:sz w:val="32"/>
          <w:szCs w:val="32"/>
        </w:rPr>
        <w:t>人表皮生长因子受体</w:t>
      </w:r>
      <w:r>
        <w:rPr>
          <w:rFonts w:ascii="Times New Roman" w:eastAsia="仿宋_GB2312" w:hAnsi="Times New Roman" w:hint="eastAsia"/>
          <w:sz w:val="32"/>
          <w:szCs w:val="32"/>
        </w:rPr>
        <w:t>2</w:t>
      </w:r>
      <w:r>
        <w:rPr>
          <w:rFonts w:ascii="Times New Roman" w:eastAsia="仿宋_GB2312" w:hAnsi="Times New Roman" w:hint="eastAsia"/>
          <w:sz w:val="32"/>
          <w:szCs w:val="32"/>
        </w:rPr>
        <w:t>基因扩增检测试剂盒（荧光原位杂交法）</w:t>
      </w:r>
      <w:r>
        <w:rPr>
          <w:rFonts w:ascii="Times New Roman" w:eastAsia="仿宋_GB2312" w:hAnsi="Times New Roman"/>
          <w:sz w:val="32"/>
          <w:szCs w:val="32"/>
        </w:rPr>
        <w:t>的一般要求，申请人应依据产品的具体特性确定其中内容是否适用，若不适用，需具体阐述理由及相应的科学依据，并依据产品的具体特性对注册申报资料的内容进行充实和细化。</w:t>
      </w:r>
    </w:p>
    <w:p w:rsidR="009A28FC" w:rsidRDefault="00401542">
      <w:pPr>
        <w:spacing w:line="52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本指导原则是</w:t>
      </w:r>
      <w:r>
        <w:rPr>
          <w:rFonts w:ascii="Times New Roman" w:eastAsia="仿宋_GB2312" w:hAnsi="Times New Roman" w:hint="eastAsia"/>
          <w:sz w:val="32"/>
          <w:szCs w:val="32"/>
        </w:rPr>
        <w:t>供</w:t>
      </w:r>
      <w:r>
        <w:rPr>
          <w:rFonts w:ascii="Times New Roman" w:eastAsia="仿宋_GB2312" w:hAnsi="Times New Roman"/>
          <w:sz w:val="32"/>
          <w:szCs w:val="32"/>
        </w:rPr>
        <w:t>申请人和</w:t>
      </w:r>
      <w:r>
        <w:rPr>
          <w:rFonts w:ascii="Times New Roman" w:eastAsia="仿宋_GB2312" w:hAnsi="Times New Roman" w:hint="eastAsia"/>
          <w:sz w:val="32"/>
          <w:szCs w:val="32"/>
        </w:rPr>
        <w:t>技术审评</w:t>
      </w:r>
      <w:r>
        <w:rPr>
          <w:rFonts w:ascii="Times New Roman" w:eastAsia="仿宋_GB2312" w:hAnsi="Times New Roman"/>
          <w:sz w:val="32"/>
          <w:szCs w:val="32"/>
        </w:rPr>
        <w:t>人员</w:t>
      </w:r>
      <w:r>
        <w:rPr>
          <w:rFonts w:ascii="Times New Roman" w:eastAsia="仿宋_GB2312" w:hAnsi="Times New Roman" w:hint="eastAsia"/>
          <w:sz w:val="32"/>
          <w:szCs w:val="32"/>
        </w:rPr>
        <w:t>使用</w:t>
      </w:r>
      <w:r>
        <w:rPr>
          <w:rFonts w:ascii="Times New Roman" w:eastAsia="仿宋_GB2312" w:hAnsi="Times New Roman"/>
          <w:sz w:val="32"/>
          <w:szCs w:val="32"/>
        </w:rPr>
        <w:t>的指导性文件，但不包括注册审批所涉及的行政事项，也不作为法规强制执行，如有能够满足相关法规要求的其他方法，也可以采用，但需要提供详细的研究资料和验证资料，相关人员应在遵循相关法规的前提下使用本指导原则。</w:t>
      </w:r>
    </w:p>
    <w:p w:rsidR="009A28FC" w:rsidRDefault="00401542">
      <w:pPr>
        <w:spacing w:line="52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本指导原则是在现行法规和标准体系以及当前认知水平下制定的，随着法规和标准的不断完善，以及科学技术的不断发展，本指导原则</w:t>
      </w:r>
      <w:r>
        <w:rPr>
          <w:rFonts w:ascii="Times New Roman" w:eastAsia="仿宋_GB2312" w:hAnsi="Times New Roman" w:hint="eastAsia"/>
          <w:sz w:val="32"/>
          <w:szCs w:val="32"/>
        </w:rPr>
        <w:t>的</w:t>
      </w:r>
      <w:r>
        <w:rPr>
          <w:rFonts w:ascii="Times New Roman" w:eastAsia="仿宋_GB2312" w:hAnsi="Times New Roman"/>
          <w:sz w:val="32"/>
          <w:szCs w:val="32"/>
        </w:rPr>
        <w:t>相关内容也将适时进行调整。</w:t>
      </w:r>
    </w:p>
    <w:p w:rsidR="009A28FC" w:rsidRDefault="00401542">
      <w:pPr>
        <w:numPr>
          <w:ilvl w:val="0"/>
          <w:numId w:val="1"/>
        </w:numPr>
        <w:spacing w:line="520" w:lineRule="exact"/>
        <w:ind w:firstLineChars="200" w:firstLine="640"/>
        <w:rPr>
          <w:rFonts w:ascii="Times New Roman" w:eastAsia="仿宋_GB2312" w:hAnsi="Times New Roman"/>
          <w:color w:val="000000"/>
          <w:spacing w:val="-6"/>
          <w:kern w:val="0"/>
          <w:sz w:val="32"/>
          <w:szCs w:val="32"/>
        </w:rPr>
      </w:pPr>
      <w:r>
        <w:rPr>
          <w:rFonts w:ascii="Times New Roman" w:eastAsia="黑体" w:hAnsi="Times New Roman" w:cs="宋体" w:hint="eastAsia"/>
          <w:bCs/>
          <w:color w:val="000000"/>
          <w:sz w:val="32"/>
          <w:szCs w:val="32"/>
        </w:rPr>
        <w:t>适用范围</w:t>
      </w:r>
      <w:r>
        <w:rPr>
          <w:rFonts w:ascii="Times New Roman" w:eastAsia="仿宋_GB2312" w:hAnsi="Times New Roman" w:cs="宋体" w:hint="eastAsia"/>
          <w:b/>
          <w:bCs/>
          <w:color w:val="000000"/>
          <w:sz w:val="32"/>
          <w:szCs w:val="32"/>
        </w:rPr>
        <w:br/>
      </w:r>
      <w:r>
        <w:rPr>
          <w:rFonts w:ascii="Times New Roman" w:eastAsia="仿宋_GB2312" w:hAnsi="Times New Roman" w:cs="宋体" w:hint="eastAsia"/>
          <w:color w:val="000000"/>
          <w:sz w:val="32"/>
          <w:szCs w:val="32"/>
        </w:rPr>
        <w:t xml:space="preserve">　</w:t>
      </w:r>
      <w:r>
        <w:rPr>
          <w:rFonts w:ascii="Times New Roman" w:eastAsia="仿宋_GB2312" w:hAnsi="Times New Roman" w:cs="宋体" w:hint="eastAsia"/>
          <w:color w:val="000000"/>
          <w:sz w:val="32"/>
          <w:szCs w:val="32"/>
        </w:rPr>
        <w:t xml:space="preserve">  </w:t>
      </w:r>
      <w:r>
        <w:rPr>
          <w:rFonts w:ascii="Times New Roman" w:eastAsia="仿宋_GB2312" w:hAnsi="Times New Roman"/>
          <w:color w:val="000000"/>
          <w:kern w:val="0"/>
          <w:sz w:val="32"/>
          <w:szCs w:val="32"/>
        </w:rPr>
        <w:t>本</w:t>
      </w:r>
      <w:r>
        <w:rPr>
          <w:rFonts w:ascii="Times New Roman" w:eastAsia="仿宋_GB2312" w:hAnsi="Times New Roman"/>
          <w:color w:val="000000"/>
          <w:spacing w:val="-6"/>
          <w:kern w:val="0"/>
          <w:sz w:val="32"/>
          <w:szCs w:val="32"/>
        </w:rPr>
        <w:t>指导原则适用于采用荧光原位杂交方法</w:t>
      </w:r>
      <w:r>
        <w:rPr>
          <w:rFonts w:ascii="Times New Roman" w:eastAsia="仿宋_GB2312" w:hAnsi="Times New Roman" w:hint="eastAsia"/>
          <w:color w:val="000000"/>
          <w:spacing w:val="-6"/>
          <w:kern w:val="0"/>
          <w:sz w:val="32"/>
          <w:szCs w:val="32"/>
        </w:rPr>
        <w:t>（</w:t>
      </w:r>
      <w:proofErr w:type="spellStart"/>
      <w:r>
        <w:rPr>
          <w:rFonts w:ascii="Times New Roman" w:eastAsia="仿宋_GB2312" w:hAnsi="Times New Roman" w:hint="eastAsia"/>
          <w:color w:val="000000"/>
          <w:spacing w:val="-6"/>
          <w:kern w:val="0"/>
          <w:sz w:val="32"/>
          <w:szCs w:val="32"/>
        </w:rPr>
        <w:t>Fluoresence</w:t>
      </w:r>
      <w:proofErr w:type="spellEnd"/>
      <w:r>
        <w:rPr>
          <w:rFonts w:ascii="Times New Roman" w:eastAsia="仿宋_GB2312" w:hAnsi="Times New Roman" w:hint="eastAsia"/>
          <w:color w:val="000000"/>
          <w:spacing w:val="-6"/>
          <w:kern w:val="0"/>
          <w:sz w:val="32"/>
          <w:szCs w:val="32"/>
        </w:rPr>
        <w:t xml:space="preserve"> in situ </w:t>
      </w:r>
      <w:r>
        <w:rPr>
          <w:rFonts w:ascii="Times New Roman" w:eastAsia="仿宋_GB2312" w:hAnsi="Times New Roman" w:hint="eastAsia"/>
          <w:color w:val="000000"/>
          <w:spacing w:val="-6"/>
          <w:kern w:val="0"/>
          <w:sz w:val="32"/>
          <w:szCs w:val="32"/>
        </w:rPr>
        <w:lastRenderedPageBreak/>
        <w:t>hybridization</w:t>
      </w:r>
      <w:r>
        <w:rPr>
          <w:rFonts w:ascii="Times New Roman" w:eastAsia="仿宋_GB2312" w:hAnsi="Times New Roman" w:hint="eastAsia"/>
          <w:color w:val="000000"/>
          <w:spacing w:val="-6"/>
          <w:kern w:val="0"/>
          <w:sz w:val="32"/>
          <w:szCs w:val="32"/>
        </w:rPr>
        <w:t>，</w:t>
      </w:r>
      <w:r>
        <w:rPr>
          <w:rFonts w:ascii="Times New Roman" w:eastAsia="仿宋_GB2312" w:hAnsi="Times New Roman" w:hint="eastAsia"/>
          <w:color w:val="000000"/>
          <w:spacing w:val="-6"/>
          <w:kern w:val="0"/>
          <w:sz w:val="32"/>
          <w:szCs w:val="32"/>
        </w:rPr>
        <w:t>FISH</w:t>
      </w:r>
      <w:r>
        <w:rPr>
          <w:rFonts w:ascii="Times New Roman" w:eastAsia="仿宋_GB2312" w:hAnsi="Times New Roman" w:hint="eastAsia"/>
          <w:color w:val="000000"/>
          <w:spacing w:val="-6"/>
          <w:kern w:val="0"/>
          <w:sz w:val="32"/>
          <w:szCs w:val="32"/>
        </w:rPr>
        <w:t>）</w:t>
      </w:r>
      <w:r>
        <w:rPr>
          <w:rFonts w:ascii="Times New Roman" w:eastAsia="仿宋_GB2312" w:hAnsi="Times New Roman"/>
          <w:color w:val="000000"/>
          <w:spacing w:val="-6"/>
          <w:kern w:val="0"/>
          <w:sz w:val="32"/>
          <w:szCs w:val="32"/>
        </w:rPr>
        <w:t>检测手术切除样本和</w:t>
      </w:r>
      <w:r>
        <w:rPr>
          <w:rFonts w:ascii="Times New Roman" w:eastAsia="仿宋_GB2312" w:hAnsi="Times New Roman" w:hint="eastAsia"/>
          <w:color w:val="000000"/>
          <w:spacing w:val="-6"/>
          <w:kern w:val="0"/>
          <w:sz w:val="32"/>
          <w:szCs w:val="32"/>
        </w:rPr>
        <w:t>/</w:t>
      </w:r>
      <w:r>
        <w:rPr>
          <w:rFonts w:ascii="Times New Roman" w:eastAsia="仿宋_GB2312" w:hAnsi="Times New Roman" w:hint="eastAsia"/>
          <w:color w:val="000000"/>
          <w:spacing w:val="-6"/>
          <w:kern w:val="0"/>
          <w:sz w:val="32"/>
          <w:szCs w:val="32"/>
        </w:rPr>
        <w:t>或</w:t>
      </w:r>
      <w:r>
        <w:rPr>
          <w:rFonts w:ascii="Times New Roman" w:eastAsia="仿宋_GB2312" w:hAnsi="Times New Roman"/>
          <w:color w:val="000000"/>
          <w:spacing w:val="-6"/>
          <w:kern w:val="0"/>
          <w:sz w:val="32"/>
          <w:szCs w:val="32"/>
        </w:rPr>
        <w:t>活检样本的组织切片中的</w:t>
      </w:r>
      <w:r>
        <w:rPr>
          <w:rFonts w:ascii="Times New Roman" w:eastAsia="仿宋_GB2312" w:hAnsi="Times New Roman" w:hint="eastAsia"/>
          <w:color w:val="000000"/>
          <w:spacing w:val="-6"/>
          <w:kern w:val="0"/>
          <w:sz w:val="32"/>
          <w:szCs w:val="32"/>
        </w:rPr>
        <w:t>人表皮生长因子受体</w:t>
      </w:r>
      <w:r>
        <w:rPr>
          <w:rFonts w:ascii="Times New Roman" w:eastAsia="仿宋_GB2312" w:hAnsi="Times New Roman" w:hint="eastAsia"/>
          <w:color w:val="000000"/>
          <w:spacing w:val="-6"/>
          <w:kern w:val="0"/>
          <w:sz w:val="32"/>
          <w:szCs w:val="32"/>
        </w:rPr>
        <w:t>2</w:t>
      </w:r>
      <w:r>
        <w:rPr>
          <w:rFonts w:ascii="Times New Roman" w:eastAsia="仿宋_GB2312" w:hAnsi="Times New Roman" w:hint="eastAsia"/>
          <w:color w:val="000000"/>
          <w:spacing w:val="-6"/>
          <w:kern w:val="0"/>
          <w:sz w:val="32"/>
          <w:szCs w:val="32"/>
        </w:rPr>
        <w:t>（</w:t>
      </w:r>
      <w:r>
        <w:rPr>
          <w:rFonts w:ascii="Times New Roman" w:eastAsia="仿宋_GB2312" w:hAnsi="Times New Roman" w:cs="Times New Roman"/>
          <w:color w:val="000000"/>
          <w:kern w:val="0"/>
          <w:sz w:val="32"/>
          <w:szCs w:val="32"/>
        </w:rPr>
        <w:t>Human Epidermal growth factor Receptor 2</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spacing w:val="-6"/>
          <w:kern w:val="0"/>
          <w:sz w:val="32"/>
          <w:szCs w:val="32"/>
        </w:rPr>
        <w:t>HER2</w:t>
      </w:r>
      <w:r>
        <w:rPr>
          <w:rFonts w:ascii="Times New Roman" w:eastAsia="仿宋_GB2312" w:hAnsi="Times New Roman" w:cs="Times New Roman"/>
          <w:color w:val="000000"/>
          <w:spacing w:val="-6"/>
          <w:kern w:val="0"/>
          <w:sz w:val="32"/>
          <w:szCs w:val="32"/>
        </w:rPr>
        <w:t>）</w:t>
      </w:r>
      <w:r>
        <w:rPr>
          <w:rFonts w:ascii="Times New Roman" w:eastAsia="仿宋_GB2312" w:hAnsi="Times New Roman"/>
          <w:color w:val="000000"/>
          <w:spacing w:val="-6"/>
          <w:kern w:val="0"/>
          <w:sz w:val="32"/>
          <w:szCs w:val="32"/>
        </w:rPr>
        <w:t>基因扩增情况，包括</w:t>
      </w:r>
      <w:r>
        <w:rPr>
          <w:rFonts w:ascii="Times New Roman" w:eastAsia="仿宋_GB2312" w:hAnsi="Times New Roman"/>
          <w:color w:val="000000"/>
          <w:spacing w:val="-6"/>
          <w:kern w:val="0"/>
          <w:sz w:val="32"/>
          <w:szCs w:val="32"/>
        </w:rPr>
        <w:t>HER2</w:t>
      </w:r>
      <w:r>
        <w:rPr>
          <w:rFonts w:ascii="Times New Roman" w:eastAsia="仿宋_GB2312" w:hAnsi="Times New Roman"/>
          <w:color w:val="000000"/>
          <w:spacing w:val="-6"/>
          <w:kern w:val="0"/>
          <w:sz w:val="32"/>
          <w:szCs w:val="32"/>
        </w:rPr>
        <w:t>基因平均拷贝数（单信号）、</w:t>
      </w:r>
      <w:r>
        <w:rPr>
          <w:rFonts w:ascii="Times New Roman" w:eastAsia="仿宋_GB2312" w:hAnsi="Times New Roman"/>
          <w:color w:val="000000"/>
          <w:spacing w:val="-6"/>
          <w:kern w:val="0"/>
          <w:sz w:val="32"/>
          <w:szCs w:val="32"/>
        </w:rPr>
        <w:t>HER2</w:t>
      </w:r>
      <w:r>
        <w:rPr>
          <w:rFonts w:ascii="Times New Roman" w:eastAsia="仿宋_GB2312" w:hAnsi="Times New Roman"/>
          <w:color w:val="000000"/>
          <w:spacing w:val="-6"/>
          <w:kern w:val="0"/>
          <w:sz w:val="32"/>
          <w:szCs w:val="32"/>
        </w:rPr>
        <w:t>基因平均拷贝数和该基因所在的第</w:t>
      </w:r>
      <w:r>
        <w:rPr>
          <w:rFonts w:ascii="Times New Roman" w:eastAsia="仿宋_GB2312" w:hAnsi="Times New Roman"/>
          <w:color w:val="000000"/>
          <w:spacing w:val="-6"/>
          <w:kern w:val="0"/>
          <w:sz w:val="32"/>
          <w:szCs w:val="32"/>
        </w:rPr>
        <w:t>17</w:t>
      </w:r>
      <w:r>
        <w:rPr>
          <w:rFonts w:ascii="Times New Roman" w:eastAsia="仿宋_GB2312" w:hAnsi="Times New Roman"/>
          <w:color w:val="000000"/>
          <w:spacing w:val="-6"/>
          <w:kern w:val="0"/>
          <w:sz w:val="32"/>
          <w:szCs w:val="32"/>
        </w:rPr>
        <w:t>号染色体着丝粒（</w:t>
      </w:r>
      <w:r>
        <w:rPr>
          <w:rFonts w:ascii="Times New Roman" w:eastAsia="仿宋_GB2312" w:hAnsi="Times New Roman"/>
          <w:color w:val="000000"/>
          <w:spacing w:val="-6"/>
          <w:kern w:val="0"/>
          <w:sz w:val="32"/>
          <w:szCs w:val="32"/>
        </w:rPr>
        <w:t>CEP17</w:t>
      </w:r>
      <w:r>
        <w:rPr>
          <w:rFonts w:ascii="Times New Roman" w:eastAsia="仿宋_GB2312" w:hAnsi="Times New Roman"/>
          <w:color w:val="000000"/>
          <w:spacing w:val="-6"/>
          <w:kern w:val="0"/>
          <w:sz w:val="32"/>
          <w:szCs w:val="32"/>
        </w:rPr>
        <w:t>）序列平均拷贝数的比值（双信号）。</w:t>
      </w:r>
    </w:p>
    <w:p w:rsidR="009A28FC" w:rsidRDefault="00401542">
      <w:pPr>
        <w:spacing w:line="520" w:lineRule="exact"/>
        <w:ind w:firstLineChars="200" w:firstLine="616"/>
        <w:rPr>
          <w:rFonts w:ascii="Times New Roman" w:eastAsia="仿宋_GB2312" w:hAnsi="Times New Roman"/>
          <w:color w:val="000000"/>
          <w:kern w:val="0"/>
          <w:sz w:val="32"/>
          <w:szCs w:val="32"/>
        </w:rPr>
      </w:pPr>
      <w:r>
        <w:rPr>
          <w:rFonts w:ascii="Times New Roman" w:eastAsia="仿宋_GB2312" w:hAnsi="Times New Roman"/>
          <w:color w:val="000000"/>
          <w:spacing w:val="-6"/>
          <w:kern w:val="0"/>
          <w:sz w:val="32"/>
          <w:szCs w:val="32"/>
        </w:rPr>
        <w:t>对于其他应用亮视野原位杂交法检测</w:t>
      </w:r>
      <w:r>
        <w:rPr>
          <w:rFonts w:ascii="Times New Roman" w:eastAsia="仿宋_GB2312" w:hAnsi="Times New Roman"/>
          <w:color w:val="000000"/>
          <w:spacing w:val="-6"/>
          <w:kern w:val="0"/>
          <w:sz w:val="32"/>
          <w:szCs w:val="32"/>
        </w:rPr>
        <w:t>HER2</w:t>
      </w:r>
      <w:r>
        <w:rPr>
          <w:rFonts w:ascii="Times New Roman" w:eastAsia="仿宋_GB2312" w:hAnsi="Times New Roman"/>
          <w:color w:val="000000"/>
          <w:spacing w:val="-6"/>
          <w:kern w:val="0"/>
          <w:sz w:val="32"/>
          <w:szCs w:val="32"/>
        </w:rPr>
        <w:t>基因扩增水平的方法，如显色原位杂交法（</w:t>
      </w:r>
      <w:r>
        <w:rPr>
          <w:rFonts w:ascii="Times New Roman" w:eastAsia="仿宋_GB2312" w:hAnsi="Times New Roman"/>
          <w:color w:val="000000"/>
          <w:spacing w:val="-6"/>
          <w:kern w:val="0"/>
          <w:sz w:val="32"/>
          <w:szCs w:val="32"/>
        </w:rPr>
        <w:t>Chromogenic In Situ Hybridization</w:t>
      </w:r>
      <w:r>
        <w:rPr>
          <w:rFonts w:ascii="Times New Roman" w:eastAsia="仿宋_GB2312" w:hAnsi="Times New Roman"/>
          <w:color w:val="000000"/>
          <w:spacing w:val="-6"/>
          <w:kern w:val="0"/>
          <w:sz w:val="32"/>
          <w:szCs w:val="32"/>
        </w:rPr>
        <w:t>，</w:t>
      </w:r>
      <w:r>
        <w:rPr>
          <w:rFonts w:ascii="Times New Roman" w:eastAsia="仿宋_GB2312" w:hAnsi="Times New Roman"/>
          <w:color w:val="000000"/>
          <w:spacing w:val="-6"/>
          <w:kern w:val="0"/>
          <w:sz w:val="32"/>
          <w:szCs w:val="32"/>
        </w:rPr>
        <w:t>CISH</w:t>
      </w:r>
      <w:r>
        <w:rPr>
          <w:rFonts w:ascii="Times New Roman" w:eastAsia="仿宋_GB2312" w:hAnsi="Times New Roman"/>
          <w:color w:val="000000"/>
          <w:spacing w:val="-6"/>
          <w:kern w:val="0"/>
          <w:sz w:val="32"/>
          <w:szCs w:val="32"/>
        </w:rPr>
        <w:t>）和</w:t>
      </w:r>
      <w:proofErr w:type="gramStart"/>
      <w:r>
        <w:rPr>
          <w:rFonts w:ascii="Times New Roman" w:eastAsia="仿宋_GB2312" w:hAnsi="Times New Roman"/>
          <w:color w:val="000000"/>
          <w:spacing w:val="-6"/>
          <w:kern w:val="0"/>
          <w:sz w:val="32"/>
          <w:szCs w:val="32"/>
        </w:rPr>
        <w:t>银增强</w:t>
      </w:r>
      <w:proofErr w:type="gramEnd"/>
      <w:r>
        <w:rPr>
          <w:rFonts w:ascii="Times New Roman" w:eastAsia="仿宋_GB2312" w:hAnsi="Times New Roman"/>
          <w:color w:val="000000"/>
          <w:spacing w:val="-6"/>
          <w:kern w:val="0"/>
          <w:sz w:val="32"/>
          <w:szCs w:val="32"/>
        </w:rPr>
        <w:t>原位杂交法（</w:t>
      </w:r>
      <w:r>
        <w:rPr>
          <w:rFonts w:ascii="Times New Roman" w:eastAsia="仿宋_GB2312" w:hAnsi="Times New Roman"/>
          <w:color w:val="000000"/>
          <w:spacing w:val="-6"/>
          <w:kern w:val="0"/>
          <w:sz w:val="32"/>
          <w:szCs w:val="32"/>
        </w:rPr>
        <w:t>Silver</w:t>
      </w:r>
      <w:r>
        <w:rPr>
          <w:rFonts w:ascii="Times New Roman" w:eastAsia="仿宋_GB2312" w:hAnsi="Times New Roman" w:hint="eastAsia"/>
          <w:color w:val="000000"/>
          <w:spacing w:val="-6"/>
          <w:kern w:val="0"/>
          <w:sz w:val="32"/>
          <w:szCs w:val="32"/>
        </w:rPr>
        <w:t>—</w:t>
      </w:r>
      <w:r>
        <w:rPr>
          <w:rFonts w:ascii="Times New Roman" w:eastAsia="仿宋_GB2312" w:hAnsi="Times New Roman"/>
          <w:color w:val="000000"/>
          <w:spacing w:val="-6"/>
          <w:kern w:val="0"/>
          <w:sz w:val="32"/>
          <w:szCs w:val="32"/>
        </w:rPr>
        <w:t>enhanced In Sit</w:t>
      </w:r>
      <w:r>
        <w:rPr>
          <w:rFonts w:ascii="Times New Roman" w:eastAsia="仿宋_GB2312" w:hAnsi="Times New Roman"/>
          <w:color w:val="000000"/>
          <w:spacing w:val="-6"/>
          <w:kern w:val="0"/>
          <w:sz w:val="32"/>
          <w:szCs w:val="32"/>
        </w:rPr>
        <w:t>u Hybridization</w:t>
      </w:r>
      <w:r>
        <w:rPr>
          <w:rFonts w:ascii="Times New Roman" w:eastAsia="仿宋_GB2312" w:hAnsi="Times New Roman"/>
          <w:color w:val="000000"/>
          <w:spacing w:val="-6"/>
          <w:kern w:val="0"/>
          <w:sz w:val="32"/>
          <w:szCs w:val="32"/>
        </w:rPr>
        <w:t>，</w:t>
      </w:r>
      <w:r>
        <w:rPr>
          <w:rFonts w:ascii="Times New Roman" w:eastAsia="仿宋_GB2312" w:hAnsi="Times New Roman"/>
          <w:color w:val="000000"/>
          <w:spacing w:val="-6"/>
          <w:kern w:val="0"/>
          <w:sz w:val="32"/>
          <w:szCs w:val="32"/>
        </w:rPr>
        <w:t>SISH</w:t>
      </w:r>
      <w:r>
        <w:rPr>
          <w:rFonts w:ascii="Times New Roman" w:eastAsia="仿宋_GB2312" w:hAnsi="Times New Roman"/>
          <w:color w:val="000000"/>
          <w:spacing w:val="-6"/>
          <w:kern w:val="0"/>
          <w:sz w:val="32"/>
          <w:szCs w:val="32"/>
        </w:rPr>
        <w:t>），</w:t>
      </w:r>
      <w:r>
        <w:rPr>
          <w:rFonts w:ascii="Times New Roman" w:eastAsia="仿宋_GB2312" w:hAnsi="Times New Roman"/>
          <w:color w:val="000000"/>
          <w:kern w:val="0"/>
          <w:sz w:val="32"/>
          <w:szCs w:val="32"/>
        </w:rPr>
        <w:t>可能部分要求不完全适用或</w:t>
      </w:r>
      <w:r>
        <w:rPr>
          <w:rFonts w:ascii="Times New Roman" w:eastAsia="仿宋_GB2312" w:hAnsi="Times New Roman" w:cs="宋体" w:hint="eastAsia"/>
          <w:color w:val="000000"/>
          <w:sz w:val="32"/>
          <w:szCs w:val="32"/>
        </w:rPr>
        <w:t>本文所述内容不够全面，申请人可参照本指导原则，根据产品特性对适用部分进行评价，并补充其他的评价资料。</w:t>
      </w:r>
    </w:p>
    <w:p w:rsidR="009A28FC" w:rsidRDefault="00401542">
      <w:pPr>
        <w:spacing w:line="52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HER2</w:t>
      </w:r>
      <w:r>
        <w:rPr>
          <w:rFonts w:ascii="Times New Roman" w:eastAsia="仿宋_GB2312" w:hAnsi="Times New Roman"/>
          <w:color w:val="000000"/>
          <w:kern w:val="0"/>
          <w:sz w:val="32"/>
          <w:szCs w:val="32"/>
        </w:rPr>
        <w:t>基因定位于染色体</w:t>
      </w:r>
      <w:r>
        <w:rPr>
          <w:rFonts w:ascii="Times New Roman" w:eastAsia="仿宋_GB2312" w:hAnsi="Times New Roman"/>
          <w:color w:val="000000"/>
          <w:kern w:val="0"/>
          <w:sz w:val="32"/>
          <w:szCs w:val="32"/>
        </w:rPr>
        <w:t>17q12</w:t>
      </w:r>
      <w:r>
        <w:rPr>
          <w:rFonts w:ascii="Times New Roman" w:eastAsia="仿宋_GB2312" w:hAnsi="Times New Roman"/>
          <w:color w:val="000000"/>
          <w:kern w:val="0"/>
          <w:sz w:val="32"/>
          <w:szCs w:val="32"/>
        </w:rPr>
        <w:t>，是表皮生长因子受体（</w:t>
      </w:r>
      <w:r>
        <w:rPr>
          <w:rFonts w:ascii="Times New Roman" w:eastAsia="仿宋_GB2312" w:hAnsi="Times New Roman"/>
          <w:color w:val="000000"/>
          <w:kern w:val="0"/>
          <w:sz w:val="32"/>
          <w:szCs w:val="32"/>
        </w:rPr>
        <w:t>EGFR</w:t>
      </w:r>
      <w:r>
        <w:rPr>
          <w:rFonts w:ascii="Times New Roman" w:eastAsia="仿宋_GB2312" w:hAnsi="Times New Roman"/>
          <w:color w:val="000000"/>
          <w:kern w:val="0"/>
          <w:sz w:val="32"/>
          <w:szCs w:val="32"/>
        </w:rPr>
        <w:t>）的</w:t>
      </w:r>
      <w:r>
        <w:rPr>
          <w:rFonts w:ascii="Times New Roman" w:eastAsia="仿宋_GB2312" w:hAnsi="Times New Roman" w:hint="eastAsia"/>
          <w:color w:val="000000"/>
          <w:kern w:val="0"/>
          <w:sz w:val="32"/>
          <w:szCs w:val="32"/>
        </w:rPr>
        <w:t>家族</w:t>
      </w:r>
      <w:r>
        <w:rPr>
          <w:rFonts w:ascii="Times New Roman" w:eastAsia="仿宋_GB2312" w:hAnsi="Times New Roman"/>
          <w:color w:val="000000"/>
          <w:kern w:val="0"/>
          <w:sz w:val="32"/>
          <w:szCs w:val="32"/>
        </w:rPr>
        <w:t>成员之一，</w:t>
      </w:r>
      <w:r>
        <w:rPr>
          <w:rFonts w:ascii="Times New Roman" w:eastAsia="仿宋_GB2312" w:hAnsi="Times New Roman"/>
          <w:color w:val="000000"/>
          <w:kern w:val="0"/>
          <w:sz w:val="32"/>
          <w:szCs w:val="32"/>
        </w:rPr>
        <w:t>HER2</w:t>
      </w:r>
      <w:r>
        <w:rPr>
          <w:rFonts w:ascii="Times New Roman" w:eastAsia="仿宋_GB2312" w:hAnsi="Times New Roman"/>
          <w:color w:val="000000"/>
          <w:kern w:val="0"/>
          <w:sz w:val="32"/>
          <w:szCs w:val="32"/>
        </w:rPr>
        <w:t>基因编码分子量为</w:t>
      </w:r>
      <w:r>
        <w:rPr>
          <w:rFonts w:ascii="Times New Roman" w:eastAsia="仿宋_GB2312" w:hAnsi="Times New Roman"/>
          <w:color w:val="000000"/>
          <w:kern w:val="0"/>
          <w:sz w:val="32"/>
          <w:szCs w:val="32"/>
        </w:rPr>
        <w:t>185kDa</w:t>
      </w:r>
      <w:r>
        <w:rPr>
          <w:rFonts w:ascii="Times New Roman" w:eastAsia="仿宋_GB2312" w:hAnsi="Times New Roman"/>
          <w:color w:val="000000"/>
          <w:kern w:val="0"/>
          <w:sz w:val="32"/>
          <w:szCs w:val="32"/>
        </w:rPr>
        <w:t>的酪氨酸激酶活性跨膜糖蛋白。</w:t>
      </w:r>
      <w:r>
        <w:rPr>
          <w:rFonts w:ascii="Times New Roman" w:eastAsia="仿宋_GB2312" w:hAnsi="Times New Roman"/>
          <w:color w:val="000000"/>
          <w:kern w:val="0"/>
          <w:sz w:val="32"/>
          <w:szCs w:val="32"/>
        </w:rPr>
        <w:t>HER2</w:t>
      </w:r>
      <w:r>
        <w:rPr>
          <w:rFonts w:ascii="Times New Roman" w:eastAsia="仿宋_GB2312" w:hAnsi="Times New Roman"/>
          <w:color w:val="000000"/>
          <w:kern w:val="0"/>
          <w:sz w:val="32"/>
          <w:szCs w:val="32"/>
        </w:rPr>
        <w:t>蛋白主要通过与家族中其他成员形成异二聚体而与各自的配体结合；</w:t>
      </w:r>
      <w:proofErr w:type="gramStart"/>
      <w:r>
        <w:rPr>
          <w:rFonts w:ascii="Times New Roman" w:eastAsia="仿宋_GB2312" w:hAnsi="Times New Roman"/>
          <w:color w:val="000000"/>
          <w:kern w:val="0"/>
          <w:sz w:val="32"/>
          <w:szCs w:val="32"/>
        </w:rPr>
        <w:t>当异二聚体</w:t>
      </w:r>
      <w:proofErr w:type="gramEnd"/>
      <w:r>
        <w:rPr>
          <w:rFonts w:ascii="Times New Roman" w:eastAsia="仿宋_GB2312" w:hAnsi="Times New Roman"/>
          <w:color w:val="000000"/>
          <w:kern w:val="0"/>
          <w:sz w:val="32"/>
          <w:szCs w:val="32"/>
        </w:rPr>
        <w:t>与配体结合后，激活酪氨酸激酶的活性。参与细胞的增殖、凋亡调控、血管和淋巴管新生等生物学功能。</w:t>
      </w:r>
    </w:p>
    <w:p w:rsidR="009A28FC" w:rsidRDefault="00401542">
      <w:pPr>
        <w:spacing w:line="52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HER2</w:t>
      </w:r>
      <w:r>
        <w:rPr>
          <w:rFonts w:ascii="Times New Roman" w:eastAsia="仿宋_GB2312" w:hAnsi="Times New Roman"/>
          <w:color w:val="000000"/>
          <w:kern w:val="0"/>
          <w:sz w:val="32"/>
          <w:szCs w:val="32"/>
        </w:rPr>
        <w:t>基因扩增</w:t>
      </w:r>
      <w:r>
        <w:rPr>
          <w:rFonts w:ascii="Times New Roman" w:eastAsia="仿宋_GB2312" w:hAnsi="Times New Roman" w:hint="eastAsia"/>
          <w:color w:val="000000"/>
          <w:kern w:val="0"/>
          <w:sz w:val="32"/>
          <w:szCs w:val="32"/>
        </w:rPr>
        <w:t>多可导致</w:t>
      </w:r>
      <w:r>
        <w:rPr>
          <w:rFonts w:ascii="Times New Roman" w:eastAsia="仿宋_GB2312" w:hAnsi="Times New Roman"/>
          <w:color w:val="000000"/>
          <w:kern w:val="0"/>
          <w:sz w:val="32"/>
          <w:szCs w:val="32"/>
        </w:rPr>
        <w:t>HER2</w:t>
      </w:r>
      <w:r>
        <w:rPr>
          <w:rFonts w:ascii="Times New Roman" w:eastAsia="仿宋_GB2312" w:hAnsi="Times New Roman" w:hint="eastAsia"/>
          <w:color w:val="000000"/>
          <w:kern w:val="0"/>
          <w:sz w:val="32"/>
          <w:szCs w:val="32"/>
        </w:rPr>
        <w:t>蛋白的过表达，从而导致肿瘤细胞内信号通路的异常活化，与肿瘤的发生发展和侵袭转移有关</w:t>
      </w:r>
      <w:r>
        <w:rPr>
          <w:rFonts w:ascii="Times New Roman" w:eastAsia="仿宋_GB2312" w:hAnsi="Times New Roman"/>
          <w:color w:val="000000"/>
          <w:kern w:val="0"/>
          <w:sz w:val="32"/>
          <w:szCs w:val="32"/>
        </w:rPr>
        <w:t>。</w:t>
      </w:r>
      <w:r>
        <w:rPr>
          <w:rFonts w:ascii="Times New Roman" w:eastAsia="仿宋_GB2312" w:hAnsi="Times New Roman" w:hint="eastAsia"/>
          <w:color w:val="000000"/>
          <w:kern w:val="0"/>
          <w:sz w:val="32"/>
          <w:szCs w:val="32"/>
        </w:rPr>
        <w:t>对于乳腺癌、胃癌等患者</w:t>
      </w:r>
      <w:r>
        <w:rPr>
          <w:rFonts w:ascii="Times New Roman" w:eastAsia="仿宋_GB2312" w:hAnsi="Times New Roman"/>
          <w:color w:val="000000"/>
          <w:kern w:val="0"/>
          <w:sz w:val="32"/>
          <w:szCs w:val="32"/>
        </w:rPr>
        <w:t>IHC</w:t>
      </w:r>
      <w:r>
        <w:rPr>
          <w:rFonts w:ascii="Times New Roman" w:eastAsia="仿宋_GB2312" w:hAnsi="Times New Roman"/>
          <w:color w:val="000000"/>
          <w:kern w:val="0"/>
          <w:sz w:val="32"/>
          <w:szCs w:val="32"/>
        </w:rPr>
        <w:t>检测结果为（</w:t>
      </w:r>
      <w:r>
        <w:rPr>
          <w:rFonts w:ascii="Times New Roman" w:eastAsia="仿宋_GB2312" w:hAnsi="Times New Roman"/>
          <w:color w:val="000000"/>
          <w:kern w:val="0"/>
          <w:sz w:val="32"/>
          <w:szCs w:val="32"/>
        </w:rPr>
        <w:t>2+</w:t>
      </w:r>
      <w:r>
        <w:rPr>
          <w:rFonts w:ascii="Times New Roman" w:eastAsia="仿宋_GB2312" w:hAnsi="Times New Roman"/>
          <w:color w:val="000000"/>
          <w:kern w:val="0"/>
          <w:sz w:val="32"/>
          <w:szCs w:val="32"/>
        </w:rPr>
        <w:t>）的病例为不确定，需进一步应用原位杂交方法进行</w:t>
      </w:r>
      <w:r>
        <w:rPr>
          <w:rFonts w:ascii="Times New Roman" w:eastAsia="仿宋_GB2312" w:hAnsi="Times New Roman"/>
          <w:color w:val="000000"/>
          <w:kern w:val="0"/>
          <w:sz w:val="32"/>
          <w:szCs w:val="32"/>
        </w:rPr>
        <w:t>HER2</w:t>
      </w:r>
      <w:r>
        <w:rPr>
          <w:rFonts w:ascii="Times New Roman" w:eastAsia="仿宋_GB2312" w:hAnsi="Times New Roman" w:hint="eastAsia"/>
          <w:color w:val="000000"/>
          <w:kern w:val="0"/>
          <w:sz w:val="32"/>
          <w:szCs w:val="32"/>
        </w:rPr>
        <w:t>基因</w:t>
      </w:r>
      <w:r>
        <w:rPr>
          <w:rFonts w:ascii="Times New Roman" w:eastAsia="仿宋_GB2312" w:hAnsi="Times New Roman"/>
          <w:color w:val="000000"/>
          <w:kern w:val="0"/>
          <w:sz w:val="32"/>
          <w:szCs w:val="32"/>
        </w:rPr>
        <w:t>扩增状态的检测。</w:t>
      </w:r>
      <w:r>
        <w:rPr>
          <w:rFonts w:ascii="Times New Roman" w:eastAsia="仿宋_GB2312" w:hAnsi="Times New Roman"/>
          <w:color w:val="000000"/>
          <w:kern w:val="0"/>
          <w:sz w:val="32"/>
          <w:szCs w:val="32"/>
        </w:rPr>
        <w:t>HER2</w:t>
      </w:r>
      <w:r>
        <w:rPr>
          <w:rFonts w:ascii="Times New Roman" w:eastAsia="仿宋_GB2312" w:hAnsi="Times New Roman"/>
          <w:color w:val="000000"/>
          <w:kern w:val="0"/>
          <w:sz w:val="32"/>
          <w:szCs w:val="32"/>
        </w:rPr>
        <w:t>基因的扩增</w:t>
      </w:r>
      <w:r>
        <w:rPr>
          <w:rFonts w:ascii="Times New Roman" w:eastAsia="仿宋_GB2312" w:hAnsi="Times New Roman" w:hint="eastAsia"/>
          <w:color w:val="000000"/>
          <w:kern w:val="0"/>
          <w:sz w:val="32"/>
          <w:szCs w:val="32"/>
        </w:rPr>
        <w:t>和蛋白的过</w:t>
      </w:r>
      <w:r>
        <w:rPr>
          <w:rFonts w:ascii="Times New Roman" w:eastAsia="仿宋_GB2312" w:hAnsi="Times New Roman"/>
          <w:color w:val="000000"/>
          <w:kern w:val="0"/>
          <w:sz w:val="32"/>
          <w:szCs w:val="32"/>
        </w:rPr>
        <w:t>表达</w:t>
      </w:r>
      <w:r>
        <w:rPr>
          <w:rFonts w:ascii="Times New Roman" w:eastAsia="仿宋_GB2312" w:hAnsi="Times New Roman" w:hint="eastAsia"/>
          <w:color w:val="000000"/>
          <w:kern w:val="0"/>
          <w:sz w:val="32"/>
          <w:szCs w:val="32"/>
        </w:rPr>
        <w:t>在乳腺癌、胃癌等患者的临床诊疗过程中具有重要意义。</w:t>
      </w:r>
    </w:p>
    <w:p w:rsidR="009A28FC" w:rsidRDefault="00401542">
      <w:pPr>
        <w:spacing w:line="52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对</w:t>
      </w:r>
      <w:r>
        <w:rPr>
          <w:rFonts w:ascii="Times New Roman" w:eastAsia="仿宋_GB2312" w:hAnsi="Times New Roman"/>
          <w:color w:val="000000"/>
          <w:kern w:val="0"/>
          <w:sz w:val="32"/>
          <w:szCs w:val="32"/>
        </w:rPr>
        <w:t>HER2</w:t>
      </w:r>
      <w:r>
        <w:rPr>
          <w:rFonts w:ascii="Times New Roman" w:eastAsia="仿宋_GB2312" w:hAnsi="Times New Roman"/>
          <w:color w:val="000000"/>
          <w:kern w:val="0"/>
          <w:sz w:val="32"/>
          <w:szCs w:val="32"/>
        </w:rPr>
        <w:t>阳性的乳腺癌</w:t>
      </w:r>
      <w:r>
        <w:rPr>
          <w:rFonts w:ascii="Times New Roman" w:eastAsia="仿宋_GB2312" w:hAnsi="Times New Roman" w:hint="eastAsia"/>
          <w:color w:val="000000"/>
          <w:kern w:val="0"/>
          <w:sz w:val="32"/>
          <w:szCs w:val="32"/>
        </w:rPr>
        <w:t>、</w:t>
      </w:r>
      <w:r>
        <w:rPr>
          <w:rFonts w:ascii="Times New Roman" w:eastAsia="仿宋_GB2312" w:hAnsi="Times New Roman"/>
          <w:color w:val="000000"/>
          <w:kern w:val="0"/>
          <w:sz w:val="32"/>
          <w:szCs w:val="32"/>
        </w:rPr>
        <w:t>胃癌</w:t>
      </w:r>
      <w:r>
        <w:rPr>
          <w:rFonts w:ascii="Times New Roman" w:eastAsia="仿宋_GB2312" w:hAnsi="Times New Roman" w:hint="eastAsia"/>
          <w:color w:val="000000"/>
          <w:kern w:val="0"/>
          <w:sz w:val="32"/>
          <w:szCs w:val="32"/>
        </w:rPr>
        <w:t>等</w:t>
      </w:r>
      <w:r>
        <w:rPr>
          <w:rFonts w:ascii="Times New Roman" w:eastAsia="仿宋_GB2312" w:hAnsi="Times New Roman"/>
          <w:color w:val="000000"/>
          <w:kern w:val="0"/>
          <w:sz w:val="32"/>
          <w:szCs w:val="32"/>
        </w:rPr>
        <w:t>患者进行联合抗</w:t>
      </w:r>
      <w:r>
        <w:rPr>
          <w:rFonts w:ascii="Times New Roman" w:eastAsia="仿宋_GB2312" w:hAnsi="Times New Roman"/>
          <w:color w:val="000000"/>
          <w:kern w:val="0"/>
          <w:sz w:val="32"/>
          <w:szCs w:val="32"/>
        </w:rPr>
        <w:t>HER2</w:t>
      </w:r>
      <w:r>
        <w:rPr>
          <w:rFonts w:ascii="Times New Roman" w:eastAsia="仿宋_GB2312" w:hAnsi="Times New Roman"/>
          <w:color w:val="000000"/>
          <w:kern w:val="0"/>
          <w:sz w:val="32"/>
          <w:szCs w:val="32"/>
        </w:rPr>
        <w:t>靶向</w:t>
      </w:r>
      <w:r>
        <w:rPr>
          <w:rFonts w:ascii="Times New Roman" w:eastAsia="仿宋_GB2312" w:hAnsi="Times New Roman"/>
          <w:color w:val="000000"/>
          <w:kern w:val="0"/>
          <w:sz w:val="32"/>
          <w:szCs w:val="32"/>
        </w:rPr>
        <w:lastRenderedPageBreak/>
        <w:t>治疗（如抗</w:t>
      </w:r>
      <w:r>
        <w:rPr>
          <w:rFonts w:ascii="Times New Roman" w:eastAsia="仿宋_GB2312" w:hAnsi="Times New Roman"/>
          <w:color w:val="000000"/>
          <w:kern w:val="0"/>
          <w:sz w:val="32"/>
          <w:szCs w:val="32"/>
        </w:rPr>
        <w:t>HER2</w:t>
      </w:r>
      <w:r>
        <w:rPr>
          <w:rFonts w:ascii="Times New Roman" w:eastAsia="仿宋_GB2312" w:hAnsi="Times New Roman"/>
          <w:color w:val="000000"/>
          <w:kern w:val="0"/>
          <w:sz w:val="32"/>
          <w:szCs w:val="32"/>
        </w:rPr>
        <w:t>单克隆抗体、小分子酪氨酸激酶抑制剂等）使得部分患者的生存状况得到改善。准确地检测</w:t>
      </w:r>
      <w:r>
        <w:rPr>
          <w:rFonts w:ascii="Times New Roman" w:eastAsia="仿宋_GB2312" w:hAnsi="Times New Roman"/>
          <w:color w:val="000000"/>
          <w:kern w:val="0"/>
          <w:sz w:val="32"/>
          <w:szCs w:val="32"/>
        </w:rPr>
        <w:t>HER2</w:t>
      </w:r>
      <w:r>
        <w:rPr>
          <w:rFonts w:ascii="Times New Roman" w:eastAsia="仿宋_GB2312" w:hAnsi="Times New Roman"/>
          <w:color w:val="000000"/>
          <w:kern w:val="0"/>
          <w:sz w:val="32"/>
          <w:szCs w:val="32"/>
        </w:rPr>
        <w:t>蛋白表达和基因扩增状态是抗</w:t>
      </w:r>
      <w:r>
        <w:rPr>
          <w:rFonts w:ascii="Times New Roman" w:eastAsia="仿宋_GB2312" w:hAnsi="Times New Roman"/>
          <w:color w:val="000000"/>
          <w:kern w:val="0"/>
          <w:sz w:val="32"/>
          <w:szCs w:val="32"/>
        </w:rPr>
        <w:t>HER2</w:t>
      </w:r>
      <w:r>
        <w:rPr>
          <w:rFonts w:ascii="Times New Roman" w:eastAsia="仿宋_GB2312" w:hAnsi="Times New Roman"/>
          <w:color w:val="000000"/>
          <w:kern w:val="0"/>
          <w:sz w:val="32"/>
          <w:szCs w:val="32"/>
        </w:rPr>
        <w:t>单克隆抗体分子靶</w:t>
      </w:r>
      <w:proofErr w:type="gramStart"/>
      <w:r>
        <w:rPr>
          <w:rFonts w:ascii="Times New Roman" w:eastAsia="仿宋_GB2312" w:hAnsi="Times New Roman"/>
          <w:color w:val="000000"/>
          <w:kern w:val="0"/>
          <w:sz w:val="32"/>
          <w:szCs w:val="32"/>
        </w:rPr>
        <w:t>向治疗</w:t>
      </w:r>
      <w:proofErr w:type="gramEnd"/>
      <w:r>
        <w:rPr>
          <w:rFonts w:ascii="Times New Roman" w:eastAsia="仿宋_GB2312" w:hAnsi="Times New Roman"/>
          <w:color w:val="000000"/>
          <w:kern w:val="0"/>
          <w:sz w:val="32"/>
          <w:szCs w:val="32"/>
        </w:rPr>
        <w:t>患者筛选和疗效预测的前提</w:t>
      </w:r>
      <w:r>
        <w:rPr>
          <w:rFonts w:ascii="Times New Roman" w:eastAsia="仿宋_GB2312" w:hAnsi="Times New Roman" w:hint="eastAsia"/>
          <w:color w:val="000000"/>
          <w:kern w:val="0"/>
          <w:sz w:val="32"/>
          <w:szCs w:val="32"/>
        </w:rPr>
        <w:t>。</w:t>
      </w:r>
    </w:p>
    <w:p w:rsidR="009A28FC" w:rsidRDefault="00401542">
      <w:pPr>
        <w:spacing w:line="52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hint="eastAsia"/>
          <w:color w:val="000000"/>
          <w:kern w:val="0"/>
          <w:sz w:val="32"/>
          <w:szCs w:val="32"/>
        </w:rPr>
        <w:t>本指导原则仅围绕乳腺癌和胃癌对</w:t>
      </w:r>
      <w:r>
        <w:rPr>
          <w:rFonts w:ascii="Times New Roman" w:eastAsia="仿宋_GB2312" w:hAnsi="Times New Roman"/>
          <w:color w:val="000000"/>
          <w:kern w:val="0"/>
          <w:sz w:val="32"/>
          <w:szCs w:val="32"/>
        </w:rPr>
        <w:t>HER2</w:t>
      </w:r>
      <w:r>
        <w:rPr>
          <w:rFonts w:ascii="Times New Roman" w:eastAsia="仿宋_GB2312" w:hAnsi="Times New Roman" w:hint="eastAsia"/>
          <w:color w:val="000000"/>
          <w:kern w:val="0"/>
          <w:sz w:val="32"/>
          <w:szCs w:val="32"/>
        </w:rPr>
        <w:t>基因扩增检测试剂在注册申报过程中的资料要求进行阐述，对于适用其他癌种的</w:t>
      </w:r>
      <w:r>
        <w:rPr>
          <w:rFonts w:ascii="Times New Roman" w:eastAsia="仿宋_GB2312" w:hAnsi="Times New Roman"/>
          <w:color w:val="000000"/>
          <w:kern w:val="0"/>
          <w:sz w:val="32"/>
          <w:szCs w:val="32"/>
        </w:rPr>
        <w:t>HER2</w:t>
      </w:r>
      <w:r>
        <w:rPr>
          <w:rFonts w:ascii="Times New Roman" w:eastAsia="仿宋_GB2312" w:hAnsi="Times New Roman" w:hint="eastAsia"/>
          <w:color w:val="000000"/>
          <w:kern w:val="0"/>
          <w:sz w:val="32"/>
          <w:szCs w:val="32"/>
        </w:rPr>
        <w:t>基因扩增检测试剂，可能部分要求不适用或</w:t>
      </w:r>
      <w:r>
        <w:rPr>
          <w:rFonts w:ascii="Times New Roman" w:eastAsia="仿宋_GB2312" w:hAnsi="Times New Roman" w:cs="宋体" w:hint="eastAsia"/>
          <w:color w:val="000000"/>
          <w:sz w:val="32"/>
          <w:szCs w:val="32"/>
        </w:rPr>
        <w:t>本文所述内容不够全面，申请人可参照本指导原则，根据产品适用范围对适用部分进行评价，并补充其他的评价资料。</w:t>
      </w:r>
    </w:p>
    <w:p w:rsidR="009A28FC" w:rsidRDefault="00401542">
      <w:pPr>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cs="宋体" w:hint="eastAsia"/>
          <w:color w:val="000000"/>
          <w:sz w:val="32"/>
          <w:szCs w:val="32"/>
        </w:rPr>
        <w:t>本指导原则适用于</w:t>
      </w:r>
      <w:r>
        <w:rPr>
          <w:rFonts w:ascii="Times New Roman" w:eastAsia="仿宋_GB2312" w:hAnsi="Times New Roman" w:hint="eastAsia"/>
          <w:color w:val="000000"/>
          <w:sz w:val="32"/>
          <w:szCs w:val="32"/>
        </w:rPr>
        <w:t>H</w:t>
      </w:r>
      <w:r>
        <w:rPr>
          <w:rFonts w:ascii="Times New Roman" w:eastAsia="仿宋_GB2312" w:hAnsi="Times New Roman"/>
          <w:color w:val="000000"/>
          <w:sz w:val="32"/>
          <w:szCs w:val="32"/>
        </w:rPr>
        <w:t>ER</w:t>
      </w:r>
      <w:r>
        <w:rPr>
          <w:rFonts w:ascii="Times New Roman" w:eastAsia="仿宋_GB2312" w:hAnsi="Times New Roman" w:hint="eastAsia"/>
          <w:color w:val="000000"/>
          <w:sz w:val="32"/>
          <w:szCs w:val="32"/>
        </w:rPr>
        <w:t>2</w:t>
      </w:r>
      <w:r>
        <w:rPr>
          <w:rFonts w:ascii="Times New Roman" w:eastAsia="仿宋_GB2312" w:hAnsi="Times New Roman" w:hint="eastAsia"/>
          <w:color w:val="000000"/>
          <w:sz w:val="32"/>
          <w:szCs w:val="32"/>
        </w:rPr>
        <w:t>基因扩增检测</w:t>
      </w:r>
      <w:r>
        <w:rPr>
          <w:rFonts w:ascii="Times New Roman" w:eastAsia="仿宋_GB2312" w:hAnsi="Times New Roman" w:hint="eastAsia"/>
          <w:color w:val="000000"/>
          <w:sz w:val="32"/>
          <w:szCs w:val="32"/>
        </w:rPr>
        <w:t>试剂</w:t>
      </w:r>
      <w:r>
        <w:rPr>
          <w:rFonts w:ascii="Times New Roman" w:eastAsia="仿宋_GB2312" w:hAnsi="Times New Roman"/>
          <w:bCs/>
          <w:color w:val="000000"/>
          <w:sz w:val="32"/>
          <w:szCs w:val="32"/>
        </w:rPr>
        <w:t>注册申请和变更注册申请</w:t>
      </w:r>
      <w:r>
        <w:rPr>
          <w:rFonts w:ascii="Times New Roman" w:eastAsia="仿宋_GB2312" w:hAnsi="Times New Roman" w:cs="宋体" w:hint="eastAsia"/>
          <w:color w:val="000000"/>
          <w:sz w:val="32"/>
          <w:szCs w:val="32"/>
        </w:rPr>
        <w:t>的情形。</w:t>
      </w:r>
      <w:r>
        <w:rPr>
          <w:rFonts w:ascii="Times New Roman" w:eastAsia="仿宋_GB2312" w:hAnsi="Times New Roman"/>
          <w:color w:val="000000"/>
          <w:sz w:val="32"/>
          <w:szCs w:val="32"/>
        </w:rPr>
        <w:t>本指导原则</w:t>
      </w:r>
      <w:r>
        <w:rPr>
          <w:rFonts w:ascii="Times New Roman" w:eastAsia="仿宋_GB2312" w:hAnsi="Times New Roman" w:hint="eastAsia"/>
          <w:color w:val="000000"/>
          <w:sz w:val="32"/>
          <w:szCs w:val="32"/>
        </w:rPr>
        <w:t>仅</w:t>
      </w:r>
      <w:r>
        <w:rPr>
          <w:rFonts w:ascii="Times New Roman" w:eastAsia="仿宋_GB2312" w:hAnsi="Times New Roman"/>
          <w:color w:val="000000"/>
          <w:sz w:val="32"/>
          <w:szCs w:val="32"/>
        </w:rPr>
        <w:t>针对</w:t>
      </w:r>
      <w:r>
        <w:rPr>
          <w:rFonts w:ascii="Times New Roman" w:eastAsia="仿宋_GB2312" w:hAnsi="Times New Roman" w:hint="eastAsia"/>
          <w:color w:val="000000"/>
          <w:sz w:val="32"/>
          <w:szCs w:val="32"/>
        </w:rPr>
        <w:t>人表皮生长因子受体</w:t>
      </w:r>
      <w:r>
        <w:rPr>
          <w:rFonts w:ascii="Times New Roman" w:eastAsia="仿宋_GB2312" w:hAnsi="Times New Roman" w:hint="eastAsia"/>
          <w:color w:val="000000"/>
          <w:sz w:val="32"/>
          <w:szCs w:val="32"/>
        </w:rPr>
        <w:t>2</w:t>
      </w:r>
      <w:r>
        <w:rPr>
          <w:rFonts w:ascii="Times New Roman" w:eastAsia="仿宋_GB2312" w:hAnsi="Times New Roman" w:hint="eastAsia"/>
          <w:color w:val="000000"/>
          <w:sz w:val="32"/>
          <w:szCs w:val="32"/>
        </w:rPr>
        <w:t>基因扩增检测试剂</w:t>
      </w:r>
      <w:r>
        <w:rPr>
          <w:rFonts w:ascii="Times New Roman" w:eastAsia="仿宋_GB2312" w:hAnsi="Times New Roman"/>
          <w:color w:val="000000"/>
          <w:sz w:val="32"/>
          <w:szCs w:val="32"/>
        </w:rPr>
        <w:t>注册申报资料中的部分内容进行撰写，其他未尽事宜应当符合《关于公布体外诊断试剂注册申报资料要求和批准证明文件格式的公告》等相关法规要求。</w:t>
      </w:r>
    </w:p>
    <w:p w:rsidR="009A28FC" w:rsidRDefault="00401542">
      <w:pPr>
        <w:spacing w:line="520" w:lineRule="exact"/>
        <w:ind w:firstLineChars="200" w:firstLine="640"/>
        <w:rPr>
          <w:rFonts w:ascii="Times New Roman" w:eastAsia="楷体" w:hAnsi="Times New Roman"/>
          <w:color w:val="000000"/>
          <w:sz w:val="32"/>
          <w:szCs w:val="32"/>
        </w:rPr>
      </w:pPr>
      <w:r>
        <w:rPr>
          <w:rFonts w:ascii="Times New Roman" w:eastAsia="黑体" w:hAnsi="Times New Roman" w:cs="宋体" w:hint="eastAsia"/>
          <w:bCs/>
          <w:color w:val="000000"/>
          <w:sz w:val="32"/>
          <w:szCs w:val="32"/>
        </w:rPr>
        <w:t>二、注册审查要点</w:t>
      </w:r>
      <w:r>
        <w:rPr>
          <w:rFonts w:ascii="Times New Roman" w:eastAsia="黑体" w:hAnsi="Times New Roman" w:cs="宋体" w:hint="eastAsia"/>
          <w:b/>
          <w:bCs/>
          <w:color w:val="000000"/>
          <w:sz w:val="32"/>
          <w:szCs w:val="32"/>
        </w:rPr>
        <w:br/>
      </w:r>
      <w:r>
        <w:rPr>
          <w:rFonts w:ascii="Times New Roman" w:eastAsia="仿宋_GB2312" w:hAnsi="Times New Roman" w:cs="宋体" w:hint="eastAsia"/>
          <w:color w:val="000000"/>
          <w:sz w:val="32"/>
          <w:szCs w:val="32"/>
        </w:rPr>
        <w:t xml:space="preserve">　　</w:t>
      </w:r>
      <w:r>
        <w:rPr>
          <w:rFonts w:ascii="Times New Roman" w:eastAsia="楷体_GB2312" w:hAnsi="Times New Roman" w:cs="Times New Roman"/>
          <w:color w:val="000000"/>
          <w:sz w:val="32"/>
          <w:szCs w:val="32"/>
        </w:rPr>
        <w:t>（一）监管信息</w:t>
      </w:r>
    </w:p>
    <w:p w:rsidR="009A28FC" w:rsidRDefault="008F0522">
      <w:pPr>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1.</w:t>
      </w:r>
      <w:r w:rsidR="00401542">
        <w:rPr>
          <w:rFonts w:ascii="Times New Roman" w:eastAsia="仿宋_GB2312" w:hAnsi="Times New Roman"/>
          <w:color w:val="000000"/>
          <w:sz w:val="32"/>
          <w:szCs w:val="32"/>
        </w:rPr>
        <w:t>产品名称及分类编码</w:t>
      </w:r>
    </w:p>
    <w:p w:rsidR="009A28FC" w:rsidRDefault="00401542">
      <w:pPr>
        <w:spacing w:line="52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产品名称应符合《体外诊断试剂注册与备案管理办法》及相关法规的要求，如</w:t>
      </w:r>
      <w:r>
        <w:rPr>
          <w:rFonts w:ascii="Times New Roman" w:eastAsia="仿宋_GB2312" w:hAnsi="Times New Roman" w:hint="eastAsia"/>
          <w:sz w:val="32"/>
          <w:szCs w:val="32"/>
        </w:rPr>
        <w:t>H</w:t>
      </w:r>
      <w:r>
        <w:rPr>
          <w:rFonts w:ascii="Times New Roman" w:eastAsia="仿宋_GB2312" w:hAnsi="Times New Roman"/>
          <w:sz w:val="32"/>
          <w:szCs w:val="32"/>
        </w:rPr>
        <w:t>ER2</w:t>
      </w:r>
      <w:r>
        <w:rPr>
          <w:rFonts w:ascii="Times New Roman" w:eastAsia="仿宋_GB2312" w:hAnsi="Times New Roman" w:hint="eastAsia"/>
          <w:sz w:val="32"/>
          <w:szCs w:val="32"/>
        </w:rPr>
        <w:t>基因</w:t>
      </w:r>
      <w:r>
        <w:rPr>
          <w:rFonts w:ascii="Times New Roman" w:eastAsia="仿宋_GB2312" w:hAnsi="Times New Roman" w:hint="eastAsia"/>
          <w:sz w:val="32"/>
          <w:szCs w:val="32"/>
        </w:rPr>
        <w:t>扩增</w:t>
      </w:r>
      <w:r>
        <w:rPr>
          <w:rFonts w:ascii="Times New Roman" w:eastAsia="仿宋_GB2312" w:hAnsi="Times New Roman" w:hint="eastAsia"/>
          <w:sz w:val="32"/>
          <w:szCs w:val="32"/>
        </w:rPr>
        <w:t>检测试剂盒（荧光原位杂交法）</w:t>
      </w:r>
      <w:r>
        <w:rPr>
          <w:rFonts w:ascii="Times New Roman" w:eastAsia="仿宋_GB2312" w:hAnsi="Times New Roman"/>
          <w:sz w:val="32"/>
          <w:szCs w:val="32"/>
        </w:rPr>
        <w:t>。根据</w:t>
      </w:r>
      <w:r>
        <w:rPr>
          <w:rFonts w:ascii="Times New Roman" w:eastAsia="仿宋_GB2312" w:hAnsi="Times New Roman" w:hint="eastAsia"/>
          <w:sz w:val="32"/>
          <w:szCs w:val="32"/>
        </w:rPr>
        <w:t>《体外诊断试剂分类目录》</w:t>
      </w:r>
      <w:r>
        <w:rPr>
          <w:rFonts w:ascii="Times New Roman" w:eastAsia="仿宋_GB2312" w:hAnsi="Times New Roman"/>
          <w:sz w:val="32"/>
          <w:szCs w:val="32"/>
        </w:rPr>
        <w:t>，该产品按照第三类体外诊断试剂管理，分类编码为</w:t>
      </w:r>
      <w:r>
        <w:rPr>
          <w:rFonts w:ascii="Times New Roman" w:eastAsia="仿宋_GB2312" w:hAnsi="Times New Roman"/>
          <w:sz w:val="32"/>
          <w:szCs w:val="32"/>
        </w:rPr>
        <w:t>6840</w:t>
      </w:r>
      <w:r>
        <w:rPr>
          <w:rFonts w:ascii="Times New Roman" w:eastAsia="仿宋_GB2312" w:hAnsi="Times New Roman"/>
          <w:sz w:val="32"/>
          <w:szCs w:val="32"/>
        </w:rPr>
        <w:t>。</w:t>
      </w:r>
    </w:p>
    <w:p w:rsidR="009A28FC" w:rsidRDefault="008F0522">
      <w:pPr>
        <w:spacing w:line="52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2.</w:t>
      </w:r>
      <w:r w:rsidR="00401542">
        <w:rPr>
          <w:rFonts w:ascii="Times New Roman" w:eastAsia="仿宋_GB2312" w:hAnsi="Times New Roman"/>
          <w:sz w:val="32"/>
          <w:szCs w:val="32"/>
        </w:rPr>
        <w:t>其他信息还包括产品列表、关联文件、申报前与监管机构的联系情况和沟通记录以及符合性声明等文件。</w:t>
      </w:r>
    </w:p>
    <w:p w:rsidR="009A28FC" w:rsidRDefault="00401542">
      <w:pPr>
        <w:spacing w:line="520" w:lineRule="exact"/>
        <w:ind w:rightChars="-32" w:right="-67" w:firstLineChars="200" w:firstLine="640"/>
        <w:rPr>
          <w:rFonts w:eastAsia="仿宋_GB2312"/>
          <w:sz w:val="32"/>
          <w:szCs w:val="32"/>
        </w:rPr>
      </w:pPr>
      <w:r>
        <w:rPr>
          <w:rFonts w:ascii="Times New Roman" w:eastAsia="楷体_GB2312" w:hAnsi="Times New Roman" w:cs="Times New Roman" w:hint="eastAsia"/>
          <w:color w:val="000000"/>
          <w:sz w:val="32"/>
          <w:szCs w:val="32"/>
        </w:rPr>
        <w:t>（二）综述资料</w:t>
      </w:r>
      <w:r>
        <w:rPr>
          <w:rFonts w:ascii="Times New Roman" w:eastAsia="楷体" w:hAnsi="Times New Roman" w:cs="宋体" w:hint="eastAsia"/>
          <w:color w:val="000000"/>
          <w:sz w:val="32"/>
          <w:szCs w:val="32"/>
        </w:rPr>
        <w:br/>
      </w:r>
      <w:r>
        <w:rPr>
          <w:rFonts w:ascii="Times New Roman" w:eastAsia="仿宋_GB2312" w:hAnsi="Times New Roman" w:cs="宋体" w:hint="eastAsia"/>
          <w:color w:val="000000"/>
          <w:sz w:val="32"/>
          <w:szCs w:val="32"/>
        </w:rPr>
        <w:lastRenderedPageBreak/>
        <w:t xml:space="preserve">　　</w:t>
      </w:r>
      <w:r>
        <w:rPr>
          <w:rFonts w:ascii="Times New Roman" w:eastAsia="仿宋_GB2312" w:hAnsi="Times New Roman"/>
          <w:color w:val="000000"/>
          <w:sz w:val="32"/>
          <w:szCs w:val="32"/>
        </w:rPr>
        <w:t>综述资料主要包括概述、产品描述、预期用途、申报产品上市历史及其他需说明的内容。</w:t>
      </w:r>
      <w:r>
        <w:rPr>
          <w:rFonts w:eastAsia="仿宋_GB2312"/>
          <w:sz w:val="32"/>
          <w:szCs w:val="32"/>
        </w:rPr>
        <w:t>其中，同类产品上市情况介绍部分应着重从</w:t>
      </w:r>
      <w:r>
        <w:rPr>
          <w:rFonts w:eastAsia="仿宋_GB2312" w:hint="eastAsia"/>
          <w:sz w:val="32"/>
          <w:szCs w:val="32"/>
        </w:rPr>
        <w:t>技术原理、预期用途、被测靶标、性能指标、临床应用情况</w:t>
      </w:r>
      <w:r>
        <w:rPr>
          <w:rFonts w:eastAsia="仿宋_GB2312"/>
          <w:sz w:val="32"/>
          <w:szCs w:val="32"/>
        </w:rPr>
        <w:t>等方面详细说明申报产品与目前市场上已获批准的同类产品之间的主要区别。此外，还应</w:t>
      </w:r>
      <w:r>
        <w:rPr>
          <w:rFonts w:eastAsia="仿宋_GB2312" w:hint="eastAsia"/>
          <w:sz w:val="32"/>
          <w:szCs w:val="32"/>
        </w:rPr>
        <w:t>重点</w:t>
      </w:r>
      <w:r>
        <w:rPr>
          <w:rFonts w:eastAsia="仿宋_GB2312"/>
          <w:sz w:val="32"/>
          <w:szCs w:val="32"/>
        </w:rPr>
        <w:t>说明</w:t>
      </w:r>
      <w:r>
        <w:rPr>
          <w:rFonts w:eastAsia="仿宋_GB2312"/>
          <w:color w:val="000000"/>
          <w:kern w:val="0"/>
          <w:sz w:val="32"/>
          <w:szCs w:val="32"/>
        </w:rPr>
        <w:t>目标基因的座位区域，探针的设计原则以及标记的荧光染料，细胞核复染方式，以及结果判读标准和统计方式等</w:t>
      </w:r>
      <w:r>
        <w:rPr>
          <w:rFonts w:eastAsia="仿宋_GB2312"/>
          <w:sz w:val="32"/>
          <w:szCs w:val="32"/>
        </w:rPr>
        <w:t>。</w:t>
      </w:r>
    </w:p>
    <w:p w:rsidR="009A28FC" w:rsidRDefault="00401542">
      <w:pPr>
        <w:spacing w:line="520" w:lineRule="exact"/>
        <w:ind w:rightChars="-32" w:right="-67" w:firstLineChars="200" w:firstLine="640"/>
        <w:rPr>
          <w:rFonts w:ascii="Times New Roman" w:eastAsia="楷体_GB2312" w:hAnsi="Times New Roman" w:cs="Times New Roman"/>
          <w:color w:val="000000"/>
          <w:sz w:val="32"/>
          <w:szCs w:val="32"/>
        </w:rPr>
      </w:pPr>
      <w:r>
        <w:rPr>
          <w:rFonts w:ascii="Times New Roman" w:eastAsia="楷体_GB2312" w:hAnsi="Times New Roman" w:cs="Times New Roman"/>
          <w:color w:val="000000"/>
          <w:sz w:val="32"/>
          <w:szCs w:val="32"/>
        </w:rPr>
        <w:t>（三）非临床资料</w:t>
      </w:r>
    </w:p>
    <w:p w:rsidR="009A28FC" w:rsidRDefault="008F0522">
      <w:pPr>
        <w:spacing w:line="520" w:lineRule="exact"/>
        <w:ind w:rightChars="-32" w:right="-67" w:firstLineChars="200" w:firstLine="636"/>
        <w:rPr>
          <w:rFonts w:ascii="Times New Roman" w:eastAsia="仿宋_GB2312" w:hAnsi="Times New Roman"/>
          <w:color w:val="000000"/>
          <w:spacing w:val="-1"/>
          <w:sz w:val="32"/>
          <w:szCs w:val="32"/>
        </w:rPr>
      </w:pPr>
      <w:r>
        <w:rPr>
          <w:rFonts w:ascii="Times New Roman" w:eastAsia="仿宋_GB2312" w:hAnsi="Times New Roman"/>
          <w:color w:val="000000"/>
          <w:spacing w:val="-1"/>
          <w:sz w:val="32"/>
          <w:szCs w:val="32"/>
        </w:rPr>
        <w:t>1.</w:t>
      </w:r>
      <w:r w:rsidR="00401542">
        <w:rPr>
          <w:rFonts w:ascii="Times New Roman" w:eastAsia="仿宋_GB2312" w:hAnsi="Times New Roman"/>
          <w:color w:val="000000"/>
          <w:spacing w:val="-1"/>
          <w:sz w:val="32"/>
          <w:szCs w:val="32"/>
        </w:rPr>
        <w:t>产品技术要求及检验报告</w:t>
      </w:r>
    </w:p>
    <w:p w:rsidR="009A28FC" w:rsidRDefault="00401542">
      <w:pPr>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申请人应当在原材料质量和生产工艺稳定的前提下，根据产品研制、前期评价结果等，依据国家标准、行业标准及有关文献资料，结合产品特性按照《医疗器械产品技术要求编写指导原则》的要求编写。该类产品作为第三类体外诊断试剂，应当以附录形式明确主要原材料及生产工艺要求。</w:t>
      </w:r>
    </w:p>
    <w:p w:rsidR="009A28FC" w:rsidRDefault="00401542">
      <w:pPr>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第三类体外诊断试剂应当提供三个不同生产批次产品的检验报告。如有适用的国家参考品发布，技术要求中</w:t>
      </w:r>
      <w:proofErr w:type="gramStart"/>
      <w:r>
        <w:rPr>
          <w:rFonts w:ascii="Times New Roman" w:eastAsia="仿宋_GB2312" w:hAnsi="Times New Roman" w:hint="eastAsia"/>
          <w:color w:val="000000"/>
          <w:sz w:val="32"/>
          <w:szCs w:val="32"/>
        </w:rPr>
        <w:t>需体现</w:t>
      </w:r>
      <w:proofErr w:type="gramEnd"/>
      <w:r>
        <w:rPr>
          <w:rFonts w:ascii="Times New Roman" w:eastAsia="仿宋_GB2312" w:hAnsi="Times New Roman" w:hint="eastAsia"/>
          <w:color w:val="000000"/>
          <w:sz w:val="32"/>
          <w:szCs w:val="32"/>
        </w:rPr>
        <w:t>国家参考品的相关要求。可提交申请人出具的自检报告或委托有资质的医疗器械检验机构出具的检验报告。</w:t>
      </w:r>
    </w:p>
    <w:p w:rsidR="009A28FC" w:rsidRDefault="00401542">
      <w:pPr>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如有适用的国家标准、行业标准，产品技术要求的相关要求应不低于相应的要求。</w:t>
      </w:r>
    </w:p>
    <w:p w:rsidR="009A28FC" w:rsidRDefault="008F0522">
      <w:pPr>
        <w:spacing w:line="520" w:lineRule="exact"/>
        <w:ind w:rightChars="-32" w:right="-67"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2.</w:t>
      </w:r>
      <w:r w:rsidR="00401542">
        <w:rPr>
          <w:rFonts w:ascii="Times New Roman" w:eastAsia="仿宋_GB2312" w:hAnsi="Times New Roman"/>
          <w:color w:val="000000"/>
          <w:sz w:val="32"/>
          <w:szCs w:val="32"/>
        </w:rPr>
        <w:t>分析性能研究</w:t>
      </w:r>
    </w:p>
    <w:p w:rsidR="009A28FC" w:rsidRDefault="00401542">
      <w:pPr>
        <w:spacing w:line="520" w:lineRule="exact"/>
        <w:ind w:firstLineChars="200" w:firstLine="640"/>
        <w:rPr>
          <w:rFonts w:eastAsia="仿宋_GB2312"/>
          <w:sz w:val="32"/>
          <w:szCs w:val="32"/>
        </w:rPr>
      </w:pPr>
      <w:r>
        <w:rPr>
          <w:rFonts w:ascii="Times New Roman" w:eastAsia="仿宋_GB2312" w:hAnsi="Times New Roman"/>
          <w:sz w:val="32"/>
          <w:szCs w:val="32"/>
        </w:rPr>
        <w:t>申请人应采用在符合质量管理体系的环境下生产的试剂盒进行所有分析性能研究，</w:t>
      </w:r>
      <w:r>
        <w:rPr>
          <w:rFonts w:ascii="Times New Roman" w:eastAsia="仿宋_GB2312" w:hAnsi="Times New Roman" w:hint="eastAsia"/>
          <w:sz w:val="32"/>
          <w:szCs w:val="32"/>
        </w:rPr>
        <w:t>并</w:t>
      </w:r>
      <w:r>
        <w:rPr>
          <w:rFonts w:eastAsia="仿宋_GB2312"/>
          <w:sz w:val="32"/>
          <w:szCs w:val="32"/>
        </w:rPr>
        <w:t>提交详细的</w:t>
      </w:r>
      <w:r>
        <w:rPr>
          <w:rFonts w:eastAsia="仿宋_GB2312" w:hint="eastAsia"/>
          <w:sz w:val="32"/>
          <w:szCs w:val="32"/>
        </w:rPr>
        <w:t>性能</w:t>
      </w:r>
      <w:r>
        <w:rPr>
          <w:rFonts w:eastAsia="仿宋_GB2312"/>
          <w:sz w:val="32"/>
          <w:szCs w:val="32"/>
        </w:rPr>
        <w:t>评估资料，包括试验方</w:t>
      </w:r>
      <w:r>
        <w:rPr>
          <w:rFonts w:eastAsia="仿宋_GB2312" w:hint="eastAsia"/>
          <w:sz w:val="32"/>
          <w:szCs w:val="32"/>
        </w:rPr>
        <w:t>案</w:t>
      </w:r>
      <w:r>
        <w:rPr>
          <w:rFonts w:eastAsia="仿宋_GB2312"/>
          <w:sz w:val="32"/>
          <w:szCs w:val="32"/>
        </w:rPr>
        <w:t>、</w:t>
      </w:r>
      <w:r>
        <w:rPr>
          <w:rFonts w:eastAsia="仿宋_GB2312" w:hint="eastAsia"/>
          <w:sz w:val="32"/>
          <w:szCs w:val="32"/>
        </w:rPr>
        <w:t>验收标准、</w:t>
      </w:r>
      <w:r>
        <w:rPr>
          <w:rFonts w:eastAsia="仿宋_GB2312"/>
          <w:sz w:val="32"/>
          <w:szCs w:val="32"/>
        </w:rPr>
        <w:t>试验数据</w:t>
      </w:r>
      <w:r>
        <w:rPr>
          <w:rFonts w:eastAsia="仿宋_GB2312" w:hint="eastAsia"/>
          <w:sz w:val="32"/>
          <w:szCs w:val="32"/>
        </w:rPr>
        <w:t>（包括代表性彩色图片）、统计分析</w:t>
      </w:r>
      <w:r>
        <w:rPr>
          <w:rFonts w:eastAsia="仿宋_GB2312" w:hint="eastAsia"/>
          <w:sz w:val="32"/>
          <w:szCs w:val="32"/>
        </w:rPr>
        <w:lastRenderedPageBreak/>
        <w:t>结果</w:t>
      </w:r>
      <w:r>
        <w:rPr>
          <w:rFonts w:eastAsia="仿宋_GB2312"/>
          <w:sz w:val="32"/>
          <w:szCs w:val="32"/>
        </w:rPr>
        <w:t>及结论等</w:t>
      </w:r>
      <w:r>
        <w:rPr>
          <w:rFonts w:eastAsia="仿宋_GB2312" w:hint="eastAsia"/>
          <w:sz w:val="32"/>
          <w:szCs w:val="32"/>
        </w:rPr>
        <w:t>详细资料</w:t>
      </w:r>
      <w:r>
        <w:rPr>
          <w:rFonts w:eastAsia="仿宋_GB2312"/>
          <w:sz w:val="32"/>
          <w:szCs w:val="32"/>
        </w:rPr>
        <w:t>。有关</w:t>
      </w:r>
      <w:r>
        <w:rPr>
          <w:rFonts w:eastAsia="仿宋_GB2312" w:hint="eastAsia"/>
          <w:sz w:val="32"/>
          <w:szCs w:val="32"/>
        </w:rPr>
        <w:t>分析性能研究的</w:t>
      </w:r>
      <w:r>
        <w:rPr>
          <w:rFonts w:eastAsia="仿宋_GB2312"/>
          <w:sz w:val="32"/>
          <w:szCs w:val="32"/>
        </w:rPr>
        <w:t>背景信息也应在资料中有所体现，包括实验地点、适用仪器、试剂规格、批号等。</w:t>
      </w:r>
      <w:r>
        <w:rPr>
          <w:rFonts w:eastAsia="仿宋_GB2312" w:hint="eastAsia"/>
          <w:sz w:val="32"/>
          <w:szCs w:val="32"/>
        </w:rPr>
        <w:t>分析性能评估的试验方法可参考国际或国内有关体外诊断试剂性能评估指导原则进行，</w:t>
      </w:r>
      <w:r>
        <w:rPr>
          <w:rFonts w:eastAsia="仿宋_GB2312"/>
          <w:sz w:val="32"/>
          <w:szCs w:val="32"/>
        </w:rPr>
        <w:t>每项性能评估应采用与适用</w:t>
      </w:r>
      <w:r>
        <w:rPr>
          <w:rFonts w:eastAsia="仿宋_GB2312" w:hint="eastAsia"/>
          <w:sz w:val="32"/>
          <w:szCs w:val="32"/>
        </w:rPr>
        <w:t>样本类型一致的临床样本</w:t>
      </w:r>
      <w:r>
        <w:rPr>
          <w:rFonts w:eastAsia="仿宋_GB2312" w:hint="eastAsia"/>
          <w:sz w:val="32"/>
          <w:szCs w:val="32"/>
        </w:rPr>
        <w:t>进行研究</w:t>
      </w:r>
      <w:r>
        <w:rPr>
          <w:rFonts w:eastAsia="仿宋_GB2312" w:hint="eastAsia"/>
          <w:sz w:val="32"/>
          <w:szCs w:val="32"/>
        </w:rPr>
        <w:t>。</w:t>
      </w:r>
    </w:p>
    <w:p w:rsidR="009A28FC" w:rsidRDefault="00401542">
      <w:pPr>
        <w:spacing w:line="520" w:lineRule="exact"/>
        <w:ind w:firstLineChars="200" w:firstLine="640"/>
        <w:rPr>
          <w:rFonts w:ascii="Times New Roman" w:eastAsia="仿宋_GB2312" w:hAnsi="Times New Roman" w:cs="宋体"/>
          <w:color w:val="000000"/>
          <w:sz w:val="32"/>
          <w:szCs w:val="32"/>
        </w:rPr>
      </w:pPr>
      <w:r>
        <w:rPr>
          <w:rFonts w:ascii="Times New Roman" w:eastAsia="仿宋_GB2312" w:hAnsi="Times New Roman"/>
          <w:color w:val="000000"/>
          <w:sz w:val="32"/>
          <w:szCs w:val="32"/>
        </w:rPr>
        <w:t>2.1</w:t>
      </w:r>
      <w:r>
        <w:rPr>
          <w:rFonts w:ascii="Times New Roman" w:eastAsia="仿宋_GB2312" w:hAnsi="Times New Roman"/>
          <w:color w:val="000000"/>
          <w:sz w:val="32"/>
          <w:szCs w:val="32"/>
        </w:rPr>
        <w:t>样本稳定性</w:t>
      </w:r>
    </w:p>
    <w:p w:rsidR="009A28FC" w:rsidRDefault="00401542">
      <w:pPr>
        <w:spacing w:line="520" w:lineRule="exact"/>
        <w:ind w:firstLineChars="200" w:firstLine="640"/>
        <w:rPr>
          <w:rFonts w:eastAsia="仿宋_GB2312"/>
          <w:color w:val="000000"/>
          <w:kern w:val="0"/>
          <w:sz w:val="32"/>
          <w:szCs w:val="32"/>
        </w:rPr>
      </w:pPr>
      <w:r>
        <w:rPr>
          <w:rFonts w:eastAsia="仿宋_GB2312"/>
          <w:color w:val="000000"/>
          <w:kern w:val="0"/>
          <w:sz w:val="32"/>
          <w:szCs w:val="32"/>
        </w:rPr>
        <w:t>申请人应充分考虑临床样本采集、处理、运输、储存与切片制备等各个阶段的条件，如温度、湿度对样本质量的影响，全面评价样本的稳定性。应</w:t>
      </w:r>
      <w:r>
        <w:rPr>
          <w:rFonts w:eastAsia="仿宋_GB2312" w:hint="eastAsia"/>
          <w:color w:val="000000"/>
          <w:kern w:val="0"/>
          <w:sz w:val="32"/>
          <w:szCs w:val="32"/>
        </w:rPr>
        <w:t>对适用的组织切片样本中的靶核酸进行充分的</w:t>
      </w:r>
      <w:r>
        <w:rPr>
          <w:rFonts w:eastAsia="仿宋_GB2312"/>
          <w:color w:val="000000"/>
          <w:kern w:val="0"/>
          <w:sz w:val="32"/>
          <w:szCs w:val="32"/>
        </w:rPr>
        <w:t>稳定性</w:t>
      </w:r>
      <w:r>
        <w:rPr>
          <w:rFonts w:eastAsia="仿宋_GB2312" w:hint="eastAsia"/>
          <w:color w:val="000000"/>
          <w:kern w:val="0"/>
          <w:sz w:val="32"/>
          <w:szCs w:val="32"/>
        </w:rPr>
        <w:t>研究</w:t>
      </w:r>
      <w:r>
        <w:rPr>
          <w:rFonts w:eastAsia="仿宋_GB2312"/>
          <w:color w:val="000000"/>
          <w:kern w:val="0"/>
          <w:sz w:val="32"/>
          <w:szCs w:val="32"/>
        </w:rPr>
        <w:t>，评价指标应至少包括储存温度及时间。</w:t>
      </w:r>
    </w:p>
    <w:p w:rsidR="009A28FC" w:rsidRDefault="00401542">
      <w:pPr>
        <w:spacing w:line="520" w:lineRule="exact"/>
        <w:ind w:firstLineChars="200" w:firstLine="640"/>
        <w:rPr>
          <w:rFonts w:ascii="Times New Roman" w:eastAsia="仿宋_GB2312" w:hAnsi="Times New Roman" w:cs="宋体"/>
          <w:color w:val="000000"/>
          <w:sz w:val="32"/>
          <w:szCs w:val="32"/>
        </w:rPr>
      </w:pPr>
      <w:r>
        <w:rPr>
          <w:rFonts w:ascii="Times New Roman" w:eastAsia="仿宋_GB2312" w:hAnsi="Times New Roman" w:cs="宋体" w:hint="eastAsia"/>
          <w:color w:val="000000"/>
          <w:sz w:val="32"/>
          <w:szCs w:val="32"/>
        </w:rPr>
        <w:t>适于冷冻保存的样本还应对冻融次数进行评价。如声称多种适用样本类型，申请人应针对不同样本类型分别进行样本稳定性研究。</w:t>
      </w:r>
    </w:p>
    <w:p w:rsidR="009A28FC" w:rsidRDefault="00401542">
      <w:pPr>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样本稳定性研究应涵盖预期适用的不同癌种的组织切片样本。</w:t>
      </w:r>
    </w:p>
    <w:p w:rsidR="009A28FC" w:rsidRDefault="00401542">
      <w:pPr>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2.2</w:t>
      </w:r>
      <w:r>
        <w:rPr>
          <w:rFonts w:ascii="Times New Roman" w:eastAsia="仿宋_GB2312" w:hAnsi="Times New Roman"/>
          <w:color w:val="000000"/>
          <w:sz w:val="32"/>
          <w:szCs w:val="32"/>
        </w:rPr>
        <w:t>适用的样本类型</w:t>
      </w:r>
    </w:p>
    <w:p w:rsidR="009A28FC" w:rsidRDefault="00401542">
      <w:pPr>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列明产品适用的样本类型。</w:t>
      </w:r>
      <w:r>
        <w:rPr>
          <w:rFonts w:ascii="Times New Roman" w:eastAsia="仿宋_GB2312" w:hAnsi="Times New Roman" w:hint="eastAsia"/>
          <w:color w:val="000000"/>
          <w:sz w:val="32"/>
          <w:szCs w:val="32"/>
        </w:rPr>
        <w:t>应采用合理方法对每种样本类型进行适用性研究确认，应明确固定液类型、切片厚度等信息。</w:t>
      </w:r>
    </w:p>
    <w:p w:rsidR="009A28FC" w:rsidRDefault="00401542">
      <w:pPr>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如产品适用多个癌种，应分别针对每一癌种的样本进行分析性能研究。</w:t>
      </w:r>
    </w:p>
    <w:p w:rsidR="009A28FC" w:rsidRDefault="00401542">
      <w:pPr>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2.3</w:t>
      </w:r>
      <w:r>
        <w:rPr>
          <w:rFonts w:ascii="Times New Roman" w:eastAsia="仿宋_GB2312" w:hAnsi="Times New Roman" w:hint="eastAsia"/>
          <w:color w:val="000000"/>
          <w:sz w:val="32"/>
          <w:szCs w:val="32"/>
        </w:rPr>
        <w:t>荧光信号强度：</w:t>
      </w:r>
    </w:p>
    <w:p w:rsidR="009A28FC" w:rsidRDefault="00401542">
      <w:pPr>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应明确探针在与由特定细胞和</w:t>
      </w:r>
      <w:r>
        <w:rPr>
          <w:rFonts w:ascii="Times New Roman" w:eastAsia="仿宋_GB2312" w:hAnsi="Times New Roman" w:hint="eastAsia"/>
          <w:color w:val="000000"/>
          <w:sz w:val="32"/>
          <w:szCs w:val="32"/>
        </w:rPr>
        <w:t>/</w:t>
      </w:r>
      <w:r>
        <w:rPr>
          <w:rFonts w:ascii="Times New Roman" w:eastAsia="仿宋_GB2312" w:hAnsi="Times New Roman" w:hint="eastAsia"/>
          <w:color w:val="000000"/>
          <w:sz w:val="32"/>
          <w:szCs w:val="32"/>
        </w:rPr>
        <w:t>或组织制备的切片杂交后，在荧光显微镜下观察的荧光信号强度要求，不同颜色的荧光信号均应清晰明亮，易于观察。</w:t>
      </w:r>
    </w:p>
    <w:p w:rsidR="009A28FC" w:rsidRDefault="00401542">
      <w:pPr>
        <w:spacing w:line="52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hint="eastAsia"/>
          <w:sz w:val="32"/>
          <w:szCs w:val="32"/>
        </w:rPr>
        <w:lastRenderedPageBreak/>
        <w:t>2.4</w:t>
      </w:r>
      <w:r>
        <w:rPr>
          <w:rFonts w:ascii="Times New Roman" w:eastAsia="仿宋_GB2312" w:hAnsi="Times New Roman"/>
          <w:color w:val="000000"/>
          <w:kern w:val="0"/>
          <w:sz w:val="32"/>
          <w:szCs w:val="32"/>
        </w:rPr>
        <w:t>灵敏度</w:t>
      </w:r>
    </w:p>
    <w:p w:rsidR="009A28FC" w:rsidRDefault="00401542">
      <w:pPr>
        <w:spacing w:line="52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主要反映产品检测时探针与目标基因位点的结合效率，也称为杂交效率。由于组织固定时蛋白质和核酸产生的分子间交联等对靶核酸具有屏蔽作用，探针穿透细胞的能力不同，导致产品对于不同</w:t>
      </w:r>
      <w:r>
        <w:rPr>
          <w:rFonts w:ascii="Times New Roman" w:eastAsia="仿宋_GB2312" w:hAnsi="Times New Roman" w:hint="eastAsia"/>
          <w:color w:val="000000"/>
          <w:kern w:val="0"/>
          <w:sz w:val="32"/>
          <w:szCs w:val="32"/>
        </w:rPr>
        <w:t>组织</w:t>
      </w:r>
      <w:r>
        <w:rPr>
          <w:rFonts w:ascii="Times New Roman" w:eastAsia="仿宋_GB2312" w:hAnsi="Times New Roman"/>
          <w:color w:val="000000"/>
          <w:kern w:val="0"/>
          <w:sz w:val="32"/>
          <w:szCs w:val="32"/>
        </w:rPr>
        <w:t>样本的杂交效率存在性</w:t>
      </w:r>
      <w:r>
        <w:rPr>
          <w:rFonts w:ascii="Times New Roman" w:eastAsia="仿宋_GB2312" w:hAnsi="Times New Roman"/>
          <w:color w:val="000000"/>
          <w:kern w:val="0"/>
          <w:sz w:val="32"/>
          <w:szCs w:val="32"/>
        </w:rPr>
        <w:t>能差异；应使用临床应用环境中所有可能的</w:t>
      </w:r>
      <w:r>
        <w:rPr>
          <w:rFonts w:ascii="Times New Roman" w:eastAsia="仿宋_GB2312" w:hAnsi="Times New Roman" w:hint="eastAsia"/>
          <w:color w:val="000000"/>
          <w:kern w:val="0"/>
          <w:sz w:val="32"/>
          <w:szCs w:val="32"/>
        </w:rPr>
        <w:t>组织类型</w:t>
      </w:r>
      <w:r>
        <w:rPr>
          <w:rFonts w:ascii="Times New Roman" w:eastAsia="仿宋_GB2312" w:hAnsi="Times New Roman"/>
          <w:color w:val="000000"/>
          <w:kern w:val="0"/>
          <w:sz w:val="32"/>
          <w:szCs w:val="32"/>
        </w:rPr>
        <w:t>中</w:t>
      </w:r>
      <w:r>
        <w:rPr>
          <w:rFonts w:ascii="Times New Roman" w:eastAsia="仿宋_GB2312" w:hAnsi="Times New Roman" w:hint="eastAsia"/>
          <w:color w:val="000000"/>
          <w:kern w:val="0"/>
          <w:sz w:val="32"/>
          <w:szCs w:val="32"/>
        </w:rPr>
        <w:t>具有代表性的类型进行评估</w:t>
      </w:r>
      <w:r>
        <w:rPr>
          <w:rFonts w:ascii="Times New Roman" w:eastAsia="仿宋_GB2312" w:hAnsi="Times New Roman"/>
          <w:color w:val="000000"/>
          <w:kern w:val="0"/>
          <w:sz w:val="32"/>
          <w:szCs w:val="32"/>
        </w:rPr>
        <w:t>。方法可选择</w:t>
      </w:r>
      <w:r>
        <w:rPr>
          <w:rFonts w:ascii="Times New Roman" w:eastAsia="仿宋_GB2312" w:hAnsi="Times New Roman"/>
          <w:color w:val="000000"/>
          <w:kern w:val="0"/>
          <w:sz w:val="32"/>
          <w:szCs w:val="32"/>
        </w:rPr>
        <w:t>20</w:t>
      </w:r>
      <w:r>
        <w:rPr>
          <w:rFonts w:ascii="Times New Roman" w:eastAsia="仿宋_GB2312" w:hAnsi="Times New Roman"/>
          <w:color w:val="000000"/>
          <w:kern w:val="0"/>
          <w:sz w:val="32"/>
          <w:szCs w:val="32"/>
        </w:rPr>
        <w:t>个乳腺浸润癌</w:t>
      </w:r>
      <w:r>
        <w:rPr>
          <w:rFonts w:ascii="Times New Roman" w:eastAsia="仿宋_GB2312" w:hAnsi="Times New Roman"/>
          <w:color w:val="000000"/>
          <w:kern w:val="0"/>
          <w:sz w:val="32"/>
          <w:szCs w:val="32"/>
        </w:rPr>
        <w:t>/</w:t>
      </w:r>
      <w:r>
        <w:rPr>
          <w:rFonts w:ascii="Times New Roman" w:eastAsia="仿宋_GB2312" w:hAnsi="Times New Roman"/>
          <w:color w:val="000000"/>
          <w:kern w:val="0"/>
          <w:sz w:val="32"/>
          <w:szCs w:val="32"/>
        </w:rPr>
        <w:t>胃癌</w:t>
      </w:r>
      <w:r>
        <w:rPr>
          <w:rFonts w:ascii="Times New Roman" w:eastAsia="仿宋_GB2312" w:hAnsi="Times New Roman" w:hint="eastAsia"/>
          <w:color w:val="000000"/>
          <w:kern w:val="0"/>
          <w:sz w:val="32"/>
          <w:szCs w:val="32"/>
        </w:rPr>
        <w:t>等</w:t>
      </w:r>
      <w:r>
        <w:rPr>
          <w:rFonts w:ascii="Times New Roman" w:eastAsia="仿宋_GB2312" w:hAnsi="Times New Roman"/>
          <w:color w:val="000000"/>
          <w:kern w:val="0"/>
          <w:sz w:val="32"/>
          <w:szCs w:val="32"/>
        </w:rPr>
        <w:t>病例的组织样本，以及</w:t>
      </w:r>
      <w:r>
        <w:rPr>
          <w:rFonts w:ascii="Times New Roman" w:eastAsia="仿宋_GB2312" w:hAnsi="Times New Roman"/>
          <w:color w:val="000000"/>
          <w:kern w:val="0"/>
          <w:sz w:val="32"/>
          <w:szCs w:val="32"/>
        </w:rPr>
        <w:t>20</w:t>
      </w:r>
      <w:r>
        <w:rPr>
          <w:rFonts w:ascii="Times New Roman" w:eastAsia="仿宋_GB2312" w:hAnsi="Times New Roman"/>
          <w:color w:val="000000"/>
          <w:kern w:val="0"/>
          <w:sz w:val="32"/>
          <w:szCs w:val="32"/>
        </w:rPr>
        <w:t>个癌</w:t>
      </w:r>
      <w:proofErr w:type="gramStart"/>
      <w:r>
        <w:rPr>
          <w:rFonts w:ascii="Times New Roman" w:eastAsia="仿宋_GB2312" w:hAnsi="Times New Roman"/>
          <w:color w:val="000000"/>
          <w:kern w:val="0"/>
          <w:sz w:val="32"/>
          <w:szCs w:val="32"/>
        </w:rPr>
        <w:t>旁正常</w:t>
      </w:r>
      <w:proofErr w:type="gramEnd"/>
      <w:r>
        <w:rPr>
          <w:rFonts w:ascii="Times New Roman" w:eastAsia="仿宋_GB2312" w:hAnsi="Times New Roman"/>
          <w:color w:val="000000"/>
          <w:kern w:val="0"/>
          <w:sz w:val="32"/>
          <w:szCs w:val="32"/>
        </w:rPr>
        <w:t>组织或者良性疾病组织样本；对同样数量的细胞随机进行分析计数。每例组织样本应至少检测</w:t>
      </w:r>
      <w:r>
        <w:rPr>
          <w:rFonts w:ascii="Times New Roman" w:eastAsia="仿宋_GB2312" w:hAnsi="Times New Roman"/>
          <w:color w:val="000000"/>
          <w:kern w:val="0"/>
          <w:sz w:val="32"/>
          <w:szCs w:val="32"/>
        </w:rPr>
        <w:t>20</w:t>
      </w:r>
      <w:r>
        <w:rPr>
          <w:rFonts w:ascii="Times New Roman" w:eastAsia="仿宋_GB2312" w:hAnsi="Times New Roman"/>
          <w:color w:val="000000"/>
          <w:kern w:val="0"/>
          <w:sz w:val="32"/>
          <w:szCs w:val="32"/>
        </w:rPr>
        <w:t>个细胞，分析统计</w:t>
      </w:r>
      <w:r>
        <w:rPr>
          <w:rFonts w:ascii="Times New Roman" w:eastAsia="仿宋_GB2312" w:hAnsi="Times New Roman" w:hint="eastAsia"/>
          <w:color w:val="000000"/>
          <w:kern w:val="0"/>
          <w:sz w:val="32"/>
          <w:szCs w:val="32"/>
        </w:rPr>
        <w:t>显示</w:t>
      </w:r>
      <w:r>
        <w:rPr>
          <w:rFonts w:ascii="Times New Roman" w:eastAsia="仿宋_GB2312" w:hAnsi="Times New Roman"/>
          <w:color w:val="000000"/>
          <w:kern w:val="0"/>
          <w:sz w:val="32"/>
          <w:szCs w:val="32"/>
        </w:rPr>
        <w:t>HER2</w:t>
      </w:r>
      <w:r>
        <w:rPr>
          <w:rFonts w:ascii="Times New Roman" w:eastAsia="仿宋_GB2312" w:hAnsi="Times New Roman"/>
          <w:color w:val="000000"/>
          <w:kern w:val="0"/>
          <w:sz w:val="32"/>
          <w:szCs w:val="32"/>
        </w:rPr>
        <w:t>基因</w:t>
      </w:r>
      <w:r>
        <w:rPr>
          <w:rFonts w:ascii="Times New Roman" w:eastAsia="仿宋_GB2312" w:hAnsi="Times New Roman" w:hint="eastAsia"/>
          <w:color w:val="000000"/>
          <w:kern w:val="0"/>
          <w:sz w:val="32"/>
          <w:szCs w:val="32"/>
        </w:rPr>
        <w:t>位点标记的</w:t>
      </w:r>
      <w:r>
        <w:rPr>
          <w:rFonts w:ascii="Times New Roman" w:eastAsia="仿宋_GB2312" w:hAnsi="Times New Roman"/>
          <w:color w:val="000000"/>
          <w:kern w:val="0"/>
          <w:sz w:val="32"/>
          <w:szCs w:val="32"/>
        </w:rPr>
        <w:t>荧光信号或者同时显示</w:t>
      </w:r>
      <w:r>
        <w:rPr>
          <w:rFonts w:ascii="Times New Roman" w:eastAsia="仿宋_GB2312" w:hAnsi="Times New Roman"/>
          <w:color w:val="000000"/>
          <w:kern w:val="0"/>
          <w:sz w:val="32"/>
          <w:szCs w:val="32"/>
        </w:rPr>
        <w:t>HER2</w:t>
      </w:r>
      <w:r>
        <w:rPr>
          <w:rFonts w:ascii="Times New Roman" w:eastAsia="仿宋_GB2312" w:hAnsi="Times New Roman"/>
          <w:color w:val="000000"/>
          <w:kern w:val="0"/>
          <w:sz w:val="32"/>
          <w:szCs w:val="32"/>
        </w:rPr>
        <w:t>基因位点标记和第</w:t>
      </w:r>
      <w:r>
        <w:rPr>
          <w:rFonts w:ascii="Times New Roman" w:eastAsia="仿宋_GB2312" w:hAnsi="Times New Roman"/>
          <w:color w:val="000000"/>
          <w:kern w:val="0"/>
          <w:sz w:val="32"/>
          <w:szCs w:val="32"/>
        </w:rPr>
        <w:t>17</w:t>
      </w:r>
      <w:r>
        <w:rPr>
          <w:rFonts w:ascii="Times New Roman" w:eastAsia="仿宋_GB2312" w:hAnsi="Times New Roman"/>
          <w:color w:val="000000"/>
          <w:kern w:val="0"/>
          <w:sz w:val="32"/>
          <w:szCs w:val="32"/>
        </w:rPr>
        <w:t>号染色体着丝粒（</w:t>
      </w:r>
      <w:r>
        <w:rPr>
          <w:rFonts w:ascii="Times New Roman" w:eastAsia="仿宋_GB2312" w:hAnsi="Times New Roman"/>
          <w:color w:val="000000"/>
          <w:kern w:val="0"/>
          <w:sz w:val="32"/>
          <w:szCs w:val="32"/>
        </w:rPr>
        <w:t>CEP17</w:t>
      </w:r>
      <w:r>
        <w:rPr>
          <w:rFonts w:ascii="Times New Roman" w:eastAsia="仿宋_GB2312" w:hAnsi="Times New Roman"/>
          <w:color w:val="000000"/>
          <w:kern w:val="0"/>
          <w:sz w:val="32"/>
          <w:szCs w:val="32"/>
        </w:rPr>
        <w:t>）位点标记的荧光信号的细胞占全部细胞的比例。</w:t>
      </w:r>
    </w:p>
    <w:p w:rsidR="009A28FC" w:rsidRDefault="00401542">
      <w:pPr>
        <w:spacing w:line="52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hint="eastAsia"/>
          <w:color w:val="000000"/>
          <w:kern w:val="0"/>
          <w:sz w:val="32"/>
          <w:szCs w:val="32"/>
        </w:rPr>
        <w:t>2.5</w:t>
      </w:r>
      <w:r>
        <w:rPr>
          <w:rFonts w:ascii="Times New Roman" w:eastAsia="仿宋_GB2312" w:hAnsi="Times New Roman"/>
          <w:color w:val="000000"/>
          <w:kern w:val="0"/>
          <w:sz w:val="32"/>
          <w:szCs w:val="32"/>
        </w:rPr>
        <w:t>特异性</w:t>
      </w:r>
    </w:p>
    <w:p w:rsidR="009A28FC" w:rsidRDefault="00401542">
      <w:pPr>
        <w:spacing w:line="520" w:lineRule="exact"/>
        <w:ind w:firstLineChars="200" w:firstLine="640"/>
        <w:rPr>
          <w:rFonts w:ascii="Times New Roman" w:eastAsia="仿宋_GB2312" w:hAnsi="Times New Roman"/>
          <w:kern w:val="0"/>
          <w:sz w:val="32"/>
          <w:szCs w:val="32"/>
        </w:rPr>
      </w:pPr>
      <w:r>
        <w:rPr>
          <w:rFonts w:ascii="Times New Roman" w:eastAsia="仿宋_GB2312" w:hAnsi="Times New Roman"/>
          <w:color w:val="000000"/>
          <w:kern w:val="0"/>
          <w:sz w:val="32"/>
          <w:szCs w:val="32"/>
        </w:rPr>
        <w:t>主要反映</w:t>
      </w:r>
      <w:r>
        <w:rPr>
          <w:rFonts w:ascii="Times New Roman" w:eastAsia="仿宋_GB2312" w:hAnsi="Times New Roman"/>
          <w:color w:val="000000"/>
          <w:kern w:val="0"/>
          <w:sz w:val="32"/>
          <w:szCs w:val="32"/>
        </w:rPr>
        <w:t>HER2</w:t>
      </w:r>
      <w:r>
        <w:rPr>
          <w:rFonts w:ascii="Times New Roman" w:eastAsia="仿宋_GB2312" w:hAnsi="Times New Roman"/>
          <w:color w:val="000000"/>
          <w:kern w:val="0"/>
          <w:sz w:val="32"/>
          <w:szCs w:val="32"/>
        </w:rPr>
        <w:t>和</w:t>
      </w:r>
      <w:r>
        <w:rPr>
          <w:rFonts w:ascii="Times New Roman" w:eastAsia="仿宋_GB2312" w:hAnsi="Times New Roman"/>
          <w:color w:val="000000"/>
          <w:kern w:val="0"/>
          <w:sz w:val="32"/>
          <w:szCs w:val="32"/>
        </w:rPr>
        <w:t>CEP17</w:t>
      </w:r>
      <w:r>
        <w:rPr>
          <w:rFonts w:ascii="Times New Roman" w:eastAsia="仿宋_GB2312" w:hAnsi="Times New Roman"/>
          <w:color w:val="000000"/>
          <w:kern w:val="0"/>
          <w:sz w:val="32"/>
          <w:szCs w:val="32"/>
        </w:rPr>
        <w:t>探针对目标序列识别的特异性。建议使用中期分裂相的外周血淋巴细胞进行分析。选择</w:t>
      </w:r>
      <w:r>
        <w:rPr>
          <w:rFonts w:ascii="Times New Roman" w:eastAsia="仿宋_GB2312" w:hAnsi="Times New Roman"/>
          <w:color w:val="000000"/>
          <w:kern w:val="0"/>
          <w:sz w:val="32"/>
          <w:szCs w:val="32"/>
        </w:rPr>
        <w:t>5</w:t>
      </w:r>
      <w:r>
        <w:rPr>
          <w:rFonts w:ascii="Times New Roman" w:eastAsia="仿宋_GB2312" w:hAnsi="Times New Roman"/>
          <w:color w:val="000000"/>
          <w:kern w:val="0"/>
          <w:sz w:val="32"/>
          <w:szCs w:val="32"/>
        </w:rPr>
        <w:t>份以上正常人的外周血培养细胞样本</w:t>
      </w:r>
      <w:r>
        <w:rPr>
          <w:rFonts w:ascii="Times New Roman" w:eastAsia="仿宋_GB2312" w:hAnsi="Times New Roman" w:hint="eastAsia"/>
          <w:color w:val="000000"/>
          <w:kern w:val="0"/>
          <w:sz w:val="32"/>
          <w:szCs w:val="32"/>
        </w:rPr>
        <w:t>进行检测</w:t>
      </w:r>
      <w:r>
        <w:rPr>
          <w:rFonts w:ascii="Times New Roman" w:eastAsia="仿宋_GB2312" w:hAnsi="Times New Roman"/>
          <w:color w:val="000000"/>
          <w:kern w:val="0"/>
          <w:sz w:val="32"/>
          <w:szCs w:val="32"/>
        </w:rPr>
        <w:t>，每</w:t>
      </w:r>
      <w:r>
        <w:rPr>
          <w:rFonts w:ascii="Times New Roman" w:eastAsia="仿宋_GB2312" w:hAnsi="Times New Roman" w:hint="eastAsia"/>
          <w:color w:val="000000"/>
          <w:kern w:val="0"/>
          <w:sz w:val="32"/>
          <w:szCs w:val="32"/>
        </w:rPr>
        <w:t>份</w:t>
      </w:r>
      <w:r>
        <w:rPr>
          <w:rFonts w:ascii="Times New Roman" w:eastAsia="仿宋_GB2312" w:hAnsi="Times New Roman"/>
          <w:color w:val="000000"/>
          <w:kern w:val="0"/>
          <w:sz w:val="32"/>
          <w:szCs w:val="32"/>
        </w:rPr>
        <w:t>样本应至少</w:t>
      </w:r>
      <w:r>
        <w:rPr>
          <w:rFonts w:ascii="Times New Roman" w:eastAsia="仿宋_GB2312" w:hAnsi="Times New Roman" w:hint="eastAsia"/>
          <w:color w:val="000000"/>
          <w:kern w:val="0"/>
          <w:sz w:val="32"/>
          <w:szCs w:val="32"/>
        </w:rPr>
        <w:t>观察</w:t>
      </w:r>
      <w:r>
        <w:rPr>
          <w:rFonts w:ascii="Times New Roman" w:eastAsia="仿宋_GB2312" w:hAnsi="Times New Roman"/>
          <w:color w:val="000000"/>
          <w:kern w:val="0"/>
          <w:sz w:val="32"/>
          <w:szCs w:val="32"/>
        </w:rPr>
        <w:t>20</w:t>
      </w:r>
      <w:r>
        <w:rPr>
          <w:rFonts w:ascii="Times New Roman" w:eastAsia="仿宋_GB2312" w:hAnsi="Times New Roman"/>
          <w:color w:val="000000"/>
          <w:kern w:val="0"/>
          <w:sz w:val="32"/>
          <w:szCs w:val="32"/>
        </w:rPr>
        <w:t>个染色体分散良好的中期分裂相细胞，</w:t>
      </w:r>
      <w:r>
        <w:rPr>
          <w:rFonts w:ascii="Times New Roman" w:eastAsia="仿宋_GB2312" w:hAnsi="Times New Roman" w:hint="eastAsia"/>
          <w:color w:val="000000"/>
          <w:kern w:val="0"/>
          <w:sz w:val="32"/>
          <w:szCs w:val="32"/>
        </w:rPr>
        <w:t>每个细胞中均应无明显的非特异性杂交荧光信号；同时</w:t>
      </w:r>
      <w:r>
        <w:rPr>
          <w:rFonts w:ascii="Times New Roman" w:eastAsia="仿宋_GB2312" w:hAnsi="Times New Roman"/>
          <w:color w:val="000000"/>
          <w:kern w:val="0"/>
          <w:sz w:val="32"/>
          <w:szCs w:val="32"/>
        </w:rPr>
        <w:t>至少对</w:t>
      </w:r>
      <w:r>
        <w:rPr>
          <w:rFonts w:ascii="Times New Roman" w:eastAsia="仿宋_GB2312" w:hAnsi="Times New Roman" w:hint="eastAsia"/>
          <w:color w:val="000000"/>
          <w:kern w:val="0"/>
          <w:sz w:val="32"/>
          <w:szCs w:val="32"/>
        </w:rPr>
        <w:t>其中的</w:t>
      </w:r>
      <w:r>
        <w:rPr>
          <w:rFonts w:ascii="Times New Roman" w:eastAsia="仿宋_GB2312" w:hAnsi="Times New Roman"/>
          <w:color w:val="000000"/>
          <w:kern w:val="0"/>
          <w:sz w:val="32"/>
          <w:szCs w:val="32"/>
        </w:rPr>
        <w:t>200</w:t>
      </w:r>
      <w:r>
        <w:rPr>
          <w:rFonts w:ascii="Times New Roman" w:eastAsia="仿宋_GB2312" w:hAnsi="Times New Roman" w:hint="eastAsia"/>
          <w:color w:val="000000"/>
          <w:kern w:val="0"/>
          <w:sz w:val="32"/>
          <w:szCs w:val="32"/>
        </w:rPr>
        <w:t>条</w:t>
      </w:r>
      <w:r>
        <w:rPr>
          <w:rFonts w:ascii="Times New Roman" w:eastAsia="仿宋_GB2312" w:hAnsi="Times New Roman" w:hint="eastAsia"/>
          <w:color w:val="000000"/>
          <w:kern w:val="0"/>
          <w:sz w:val="32"/>
          <w:szCs w:val="32"/>
        </w:rPr>
        <w:t>17</w:t>
      </w:r>
      <w:r>
        <w:rPr>
          <w:rFonts w:ascii="Times New Roman" w:eastAsia="仿宋_GB2312" w:hAnsi="Times New Roman" w:hint="eastAsia"/>
          <w:color w:val="000000"/>
          <w:kern w:val="0"/>
          <w:sz w:val="32"/>
          <w:szCs w:val="32"/>
        </w:rPr>
        <w:t>号染色体上的</w:t>
      </w:r>
      <w:r>
        <w:rPr>
          <w:rFonts w:ascii="Times New Roman" w:eastAsia="仿宋_GB2312" w:hAnsi="Times New Roman"/>
          <w:color w:val="000000"/>
          <w:kern w:val="0"/>
          <w:sz w:val="32"/>
          <w:szCs w:val="32"/>
        </w:rPr>
        <w:t>靶位点进行分析</w:t>
      </w:r>
      <w:r>
        <w:rPr>
          <w:rFonts w:ascii="Times New Roman" w:eastAsia="仿宋_GB2312" w:hAnsi="Times New Roman" w:hint="eastAsia"/>
          <w:color w:val="000000"/>
          <w:kern w:val="0"/>
          <w:sz w:val="32"/>
          <w:szCs w:val="32"/>
        </w:rPr>
        <w:t>，</w:t>
      </w:r>
      <w:r>
        <w:rPr>
          <w:rFonts w:ascii="Times New Roman" w:eastAsia="仿宋_GB2312" w:hAnsi="Times New Roman"/>
          <w:color w:val="000000"/>
          <w:kern w:val="0"/>
          <w:sz w:val="32"/>
          <w:szCs w:val="32"/>
        </w:rPr>
        <w:t>结合</w:t>
      </w:r>
      <w:r>
        <w:rPr>
          <w:rFonts w:ascii="Times New Roman" w:eastAsia="仿宋_GB2312" w:hAnsi="Times New Roman" w:hint="eastAsia"/>
          <w:color w:val="000000"/>
          <w:kern w:val="0"/>
          <w:sz w:val="32"/>
          <w:szCs w:val="32"/>
        </w:rPr>
        <w:t>观察染色体形态等方式</w:t>
      </w:r>
      <w:r>
        <w:rPr>
          <w:rFonts w:ascii="Times New Roman" w:eastAsia="仿宋_GB2312" w:hAnsi="Times New Roman"/>
          <w:color w:val="000000"/>
          <w:kern w:val="0"/>
          <w:sz w:val="32"/>
          <w:szCs w:val="32"/>
        </w:rPr>
        <w:t>，</w:t>
      </w:r>
      <w:r>
        <w:rPr>
          <w:rFonts w:ascii="Times New Roman" w:eastAsia="仿宋_GB2312" w:hAnsi="Times New Roman"/>
          <w:kern w:val="0"/>
          <w:sz w:val="32"/>
          <w:szCs w:val="32"/>
        </w:rPr>
        <w:t>统计</w:t>
      </w:r>
      <w:r>
        <w:rPr>
          <w:rFonts w:ascii="Times New Roman" w:eastAsia="仿宋_GB2312" w:hAnsi="Times New Roman" w:hint="eastAsia"/>
          <w:kern w:val="0"/>
          <w:sz w:val="32"/>
          <w:szCs w:val="32"/>
        </w:rPr>
        <w:t>在</w:t>
      </w:r>
      <w:r>
        <w:rPr>
          <w:rFonts w:ascii="Times New Roman" w:eastAsia="仿宋_GB2312" w:hAnsi="Times New Roman" w:hint="eastAsia"/>
          <w:kern w:val="0"/>
          <w:sz w:val="32"/>
          <w:szCs w:val="32"/>
        </w:rPr>
        <w:t>H</w:t>
      </w:r>
      <w:r>
        <w:rPr>
          <w:rFonts w:ascii="Times New Roman" w:eastAsia="仿宋_GB2312" w:hAnsi="Times New Roman"/>
          <w:kern w:val="0"/>
          <w:sz w:val="32"/>
          <w:szCs w:val="32"/>
        </w:rPr>
        <w:t>ER2</w:t>
      </w:r>
      <w:r>
        <w:rPr>
          <w:rFonts w:ascii="Times New Roman" w:eastAsia="仿宋_GB2312" w:hAnsi="Times New Roman" w:hint="eastAsia"/>
          <w:kern w:val="0"/>
          <w:sz w:val="32"/>
          <w:szCs w:val="32"/>
        </w:rPr>
        <w:t>基因位点区域和</w:t>
      </w:r>
      <w:proofErr w:type="gramStart"/>
      <w:r>
        <w:rPr>
          <w:rFonts w:ascii="Times New Roman" w:eastAsia="仿宋_GB2312" w:hAnsi="Times New Roman" w:hint="eastAsia"/>
          <w:kern w:val="0"/>
          <w:sz w:val="32"/>
          <w:szCs w:val="32"/>
        </w:rPr>
        <w:t>或</w:t>
      </w:r>
      <w:proofErr w:type="gramEnd"/>
      <w:r>
        <w:rPr>
          <w:rFonts w:ascii="Times New Roman" w:eastAsia="仿宋_GB2312" w:hAnsi="Times New Roman" w:hint="eastAsia"/>
          <w:kern w:val="0"/>
          <w:sz w:val="32"/>
          <w:szCs w:val="32"/>
        </w:rPr>
        <w:t>着丝粒区域分别显示各自特定荧光信号的</w:t>
      </w:r>
      <w:r>
        <w:rPr>
          <w:rFonts w:ascii="Times New Roman" w:eastAsia="仿宋_GB2312" w:hAnsi="Times New Roman" w:hint="eastAsia"/>
          <w:kern w:val="0"/>
          <w:sz w:val="32"/>
          <w:szCs w:val="32"/>
        </w:rPr>
        <w:t>17</w:t>
      </w:r>
      <w:r>
        <w:rPr>
          <w:rFonts w:ascii="Times New Roman" w:eastAsia="仿宋_GB2312" w:hAnsi="Times New Roman" w:hint="eastAsia"/>
          <w:kern w:val="0"/>
          <w:sz w:val="32"/>
          <w:szCs w:val="32"/>
        </w:rPr>
        <w:t>号染色体占被分析的全部</w:t>
      </w:r>
      <w:r>
        <w:rPr>
          <w:rFonts w:ascii="Times New Roman" w:eastAsia="仿宋_GB2312" w:hAnsi="Times New Roman" w:hint="eastAsia"/>
          <w:kern w:val="0"/>
          <w:sz w:val="32"/>
          <w:szCs w:val="32"/>
        </w:rPr>
        <w:t>17</w:t>
      </w:r>
      <w:r>
        <w:rPr>
          <w:rFonts w:ascii="Times New Roman" w:eastAsia="仿宋_GB2312" w:hAnsi="Times New Roman" w:hint="eastAsia"/>
          <w:kern w:val="0"/>
          <w:sz w:val="32"/>
          <w:szCs w:val="32"/>
        </w:rPr>
        <w:t>号染色体的比例。</w:t>
      </w:r>
    </w:p>
    <w:p w:rsidR="009A28FC" w:rsidRDefault="00401542">
      <w:pPr>
        <w:spacing w:line="52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hint="eastAsia"/>
          <w:color w:val="000000"/>
          <w:kern w:val="0"/>
          <w:sz w:val="32"/>
          <w:szCs w:val="32"/>
        </w:rPr>
        <w:t>2.6</w:t>
      </w:r>
      <w:r>
        <w:rPr>
          <w:rFonts w:ascii="Times New Roman" w:eastAsia="仿宋_GB2312" w:hAnsi="Times New Roman"/>
          <w:color w:val="000000"/>
          <w:kern w:val="0"/>
          <w:sz w:val="32"/>
          <w:szCs w:val="32"/>
        </w:rPr>
        <w:t>阴、阳性符合率</w:t>
      </w:r>
    </w:p>
    <w:p w:rsidR="009A28FC" w:rsidRDefault="00401542">
      <w:pPr>
        <w:spacing w:line="52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主要反映产品对不同</w:t>
      </w:r>
      <w:r>
        <w:rPr>
          <w:rFonts w:ascii="Times New Roman" w:eastAsia="仿宋_GB2312" w:hAnsi="Times New Roman" w:hint="eastAsia"/>
          <w:color w:val="000000"/>
          <w:kern w:val="0"/>
          <w:sz w:val="32"/>
          <w:szCs w:val="32"/>
        </w:rPr>
        <w:t>组织类型样本</w:t>
      </w:r>
      <w:r>
        <w:rPr>
          <w:rFonts w:ascii="Times New Roman" w:eastAsia="仿宋_GB2312" w:hAnsi="Times New Roman"/>
          <w:color w:val="000000"/>
          <w:kern w:val="0"/>
          <w:sz w:val="32"/>
          <w:szCs w:val="32"/>
        </w:rPr>
        <w:t>中</w:t>
      </w:r>
      <w:r>
        <w:rPr>
          <w:rFonts w:ascii="Times New Roman" w:eastAsia="仿宋_GB2312" w:hAnsi="Times New Roman"/>
          <w:color w:val="000000"/>
          <w:kern w:val="0"/>
          <w:sz w:val="32"/>
          <w:szCs w:val="32"/>
        </w:rPr>
        <w:t>HER2</w:t>
      </w:r>
      <w:r>
        <w:rPr>
          <w:rFonts w:ascii="Times New Roman" w:eastAsia="仿宋_GB2312" w:hAnsi="Times New Roman"/>
          <w:color w:val="000000"/>
          <w:kern w:val="0"/>
          <w:sz w:val="32"/>
          <w:szCs w:val="32"/>
        </w:rPr>
        <w:t>基因的</w:t>
      </w:r>
      <w:r>
        <w:rPr>
          <w:rFonts w:ascii="Times New Roman" w:eastAsia="仿宋_GB2312" w:hAnsi="Times New Roman"/>
          <w:color w:val="000000"/>
          <w:kern w:val="0"/>
          <w:sz w:val="32"/>
          <w:szCs w:val="32"/>
        </w:rPr>
        <w:t>检出能力和准确性。应使用临床应用环境中所有可能的样本类型中具有</w:t>
      </w:r>
      <w:r>
        <w:rPr>
          <w:rFonts w:ascii="Times New Roman" w:eastAsia="仿宋_GB2312" w:hAnsi="Times New Roman"/>
          <w:color w:val="000000"/>
          <w:kern w:val="0"/>
          <w:sz w:val="32"/>
          <w:szCs w:val="32"/>
        </w:rPr>
        <w:lastRenderedPageBreak/>
        <w:t>代表性的组织类型进行评价，并提供样本来源、编号、病理组织类型，以及明确的</w:t>
      </w:r>
      <w:r>
        <w:rPr>
          <w:rFonts w:ascii="Times New Roman" w:eastAsia="仿宋_GB2312" w:hAnsi="Times New Roman"/>
          <w:color w:val="000000"/>
          <w:kern w:val="0"/>
          <w:sz w:val="32"/>
          <w:szCs w:val="32"/>
        </w:rPr>
        <w:t>HER2</w:t>
      </w:r>
      <w:r>
        <w:rPr>
          <w:rFonts w:ascii="Times New Roman" w:eastAsia="仿宋_GB2312" w:hAnsi="Times New Roman"/>
          <w:color w:val="000000"/>
          <w:kern w:val="0"/>
          <w:sz w:val="32"/>
          <w:szCs w:val="32"/>
        </w:rPr>
        <w:t>基因扩增状态。对于适应症为乳腺癌的情况，用于评价的</w:t>
      </w:r>
      <w:r>
        <w:rPr>
          <w:rFonts w:ascii="Times New Roman" w:eastAsia="仿宋_GB2312" w:hAnsi="Times New Roman" w:hint="eastAsia"/>
          <w:color w:val="000000"/>
          <w:kern w:val="0"/>
          <w:sz w:val="32"/>
          <w:szCs w:val="32"/>
        </w:rPr>
        <w:t>组织</w:t>
      </w:r>
      <w:r>
        <w:rPr>
          <w:rFonts w:ascii="Times New Roman" w:eastAsia="仿宋_GB2312" w:hAnsi="Times New Roman"/>
          <w:color w:val="000000"/>
          <w:kern w:val="0"/>
          <w:sz w:val="32"/>
          <w:szCs w:val="32"/>
        </w:rPr>
        <w:t>类型应包括乳腺浸润</w:t>
      </w:r>
      <w:proofErr w:type="gramStart"/>
      <w:r>
        <w:rPr>
          <w:rFonts w:ascii="Times New Roman" w:eastAsia="仿宋_GB2312" w:hAnsi="Times New Roman"/>
          <w:color w:val="000000"/>
          <w:kern w:val="0"/>
          <w:sz w:val="32"/>
          <w:szCs w:val="32"/>
        </w:rPr>
        <w:t>性癌非特殊</w:t>
      </w:r>
      <w:proofErr w:type="gramEnd"/>
      <w:r>
        <w:rPr>
          <w:rFonts w:ascii="Times New Roman" w:eastAsia="仿宋_GB2312" w:hAnsi="Times New Roman"/>
          <w:color w:val="000000"/>
          <w:kern w:val="0"/>
          <w:sz w:val="32"/>
          <w:szCs w:val="32"/>
        </w:rPr>
        <w:t>类型、乳腺浸润性小叶癌、小管癌、粘液癌</w:t>
      </w:r>
      <w:r>
        <w:rPr>
          <w:rFonts w:ascii="Times New Roman" w:eastAsia="仿宋_GB2312" w:hAnsi="Times New Roman" w:hint="eastAsia"/>
          <w:color w:val="000000"/>
          <w:kern w:val="0"/>
          <w:sz w:val="32"/>
          <w:szCs w:val="32"/>
        </w:rPr>
        <w:t>等</w:t>
      </w:r>
      <w:r>
        <w:rPr>
          <w:rFonts w:ascii="Times New Roman" w:eastAsia="仿宋_GB2312" w:hAnsi="Times New Roman"/>
          <w:color w:val="000000"/>
          <w:kern w:val="0"/>
          <w:sz w:val="32"/>
          <w:szCs w:val="32"/>
        </w:rPr>
        <w:t>，良性疾病（如腺病及纤维腺瘤）以及</w:t>
      </w:r>
      <w:r>
        <w:rPr>
          <w:rFonts w:ascii="Times New Roman" w:eastAsia="仿宋_GB2312" w:hAnsi="Times New Roman" w:hint="eastAsia"/>
          <w:color w:val="000000"/>
          <w:kern w:val="0"/>
          <w:sz w:val="32"/>
          <w:szCs w:val="32"/>
        </w:rPr>
        <w:t>相对正常的癌</w:t>
      </w:r>
      <w:proofErr w:type="gramStart"/>
      <w:r>
        <w:rPr>
          <w:rFonts w:ascii="Times New Roman" w:eastAsia="仿宋_GB2312" w:hAnsi="Times New Roman" w:hint="eastAsia"/>
          <w:color w:val="000000"/>
          <w:kern w:val="0"/>
          <w:sz w:val="32"/>
          <w:szCs w:val="32"/>
        </w:rPr>
        <w:t>旁组织</w:t>
      </w:r>
      <w:proofErr w:type="gramEnd"/>
      <w:r>
        <w:rPr>
          <w:rFonts w:ascii="Times New Roman" w:eastAsia="仿宋_GB2312" w:hAnsi="Times New Roman"/>
          <w:color w:val="000000"/>
          <w:kern w:val="0"/>
          <w:sz w:val="32"/>
          <w:szCs w:val="32"/>
        </w:rPr>
        <w:t>等。对于适应症为胃癌的情况，用于评价的</w:t>
      </w:r>
      <w:r>
        <w:rPr>
          <w:rFonts w:ascii="Times New Roman" w:eastAsia="仿宋_GB2312" w:hAnsi="Times New Roman" w:hint="eastAsia"/>
          <w:color w:val="000000"/>
          <w:kern w:val="0"/>
          <w:sz w:val="32"/>
          <w:szCs w:val="32"/>
        </w:rPr>
        <w:t>组织</w:t>
      </w:r>
      <w:r>
        <w:rPr>
          <w:rFonts w:ascii="Times New Roman" w:eastAsia="仿宋_GB2312" w:hAnsi="Times New Roman"/>
          <w:color w:val="000000"/>
          <w:kern w:val="0"/>
          <w:sz w:val="32"/>
          <w:szCs w:val="32"/>
        </w:rPr>
        <w:t>类型应包括肠型、弥漫型、混合型（</w:t>
      </w:r>
      <w:r>
        <w:rPr>
          <w:rFonts w:ascii="Times New Roman" w:eastAsia="仿宋_GB2312" w:hAnsi="Times New Roman"/>
          <w:color w:val="000000"/>
          <w:kern w:val="0"/>
          <w:sz w:val="32"/>
          <w:szCs w:val="32"/>
        </w:rPr>
        <w:t>Lauren</w:t>
      </w:r>
      <w:r>
        <w:rPr>
          <w:rFonts w:ascii="Times New Roman" w:eastAsia="仿宋_GB2312" w:hAnsi="Times New Roman"/>
          <w:color w:val="000000"/>
          <w:kern w:val="0"/>
          <w:sz w:val="32"/>
          <w:szCs w:val="32"/>
        </w:rPr>
        <w:t>分型）胃癌，良性疾病（如胃粘膜慢性炎症）以及</w:t>
      </w:r>
      <w:r>
        <w:rPr>
          <w:rFonts w:ascii="Times New Roman" w:eastAsia="仿宋_GB2312" w:hAnsi="Times New Roman" w:hint="eastAsia"/>
          <w:color w:val="000000"/>
          <w:kern w:val="0"/>
          <w:sz w:val="32"/>
          <w:szCs w:val="32"/>
        </w:rPr>
        <w:t>相对正常的癌</w:t>
      </w:r>
      <w:proofErr w:type="gramStart"/>
      <w:r>
        <w:rPr>
          <w:rFonts w:ascii="Times New Roman" w:eastAsia="仿宋_GB2312" w:hAnsi="Times New Roman" w:hint="eastAsia"/>
          <w:color w:val="000000"/>
          <w:kern w:val="0"/>
          <w:sz w:val="32"/>
          <w:szCs w:val="32"/>
        </w:rPr>
        <w:t>旁组织</w:t>
      </w:r>
      <w:proofErr w:type="gramEnd"/>
      <w:r>
        <w:rPr>
          <w:rFonts w:ascii="Times New Roman" w:eastAsia="仿宋_GB2312" w:hAnsi="Times New Roman"/>
          <w:color w:val="000000"/>
          <w:kern w:val="0"/>
          <w:sz w:val="32"/>
          <w:szCs w:val="32"/>
        </w:rPr>
        <w:t>等。每种</w:t>
      </w:r>
      <w:r>
        <w:rPr>
          <w:rFonts w:ascii="Times New Roman" w:eastAsia="仿宋_GB2312" w:hAnsi="Times New Roman" w:hint="eastAsia"/>
          <w:color w:val="000000"/>
          <w:kern w:val="0"/>
          <w:sz w:val="32"/>
          <w:szCs w:val="32"/>
        </w:rPr>
        <w:t>组</w:t>
      </w:r>
      <w:r>
        <w:rPr>
          <w:rFonts w:ascii="Times New Roman" w:eastAsia="仿宋_GB2312" w:hAnsi="Times New Roman"/>
          <w:color w:val="000000"/>
          <w:kern w:val="0"/>
          <w:sz w:val="32"/>
          <w:szCs w:val="32"/>
        </w:rPr>
        <w:t>织类型</w:t>
      </w:r>
      <w:r>
        <w:rPr>
          <w:rFonts w:ascii="Times New Roman" w:eastAsia="仿宋_GB2312" w:hAnsi="Times New Roman" w:hint="eastAsia"/>
          <w:color w:val="000000"/>
          <w:kern w:val="0"/>
          <w:sz w:val="32"/>
          <w:szCs w:val="32"/>
        </w:rPr>
        <w:t>至少</w:t>
      </w:r>
      <w:r>
        <w:rPr>
          <w:rFonts w:ascii="Times New Roman" w:eastAsia="仿宋_GB2312" w:hAnsi="Times New Roman"/>
          <w:color w:val="000000"/>
          <w:kern w:val="0"/>
          <w:sz w:val="32"/>
          <w:szCs w:val="32"/>
        </w:rPr>
        <w:t>设置</w:t>
      </w:r>
      <w:r>
        <w:rPr>
          <w:rFonts w:ascii="Times New Roman" w:eastAsia="仿宋_GB2312" w:hAnsi="Times New Roman"/>
          <w:color w:val="000000"/>
          <w:kern w:val="0"/>
          <w:sz w:val="32"/>
          <w:szCs w:val="32"/>
        </w:rPr>
        <w:t>3</w:t>
      </w:r>
      <w:r>
        <w:rPr>
          <w:rFonts w:ascii="Times New Roman" w:eastAsia="仿宋_GB2312" w:hAnsi="Times New Roman"/>
          <w:color w:val="000000"/>
          <w:kern w:val="0"/>
          <w:sz w:val="32"/>
          <w:szCs w:val="32"/>
        </w:rPr>
        <w:t>例样本进行评价。建议着重评价申报产品对</w:t>
      </w:r>
      <w:r>
        <w:rPr>
          <w:rFonts w:ascii="Times New Roman" w:eastAsia="仿宋_GB2312" w:hAnsi="Times New Roman"/>
          <w:color w:val="000000"/>
          <w:kern w:val="0"/>
          <w:sz w:val="32"/>
          <w:szCs w:val="32"/>
        </w:rPr>
        <w:t>IHC</w:t>
      </w:r>
      <w:r>
        <w:rPr>
          <w:rFonts w:ascii="Times New Roman" w:eastAsia="仿宋_GB2312" w:hAnsi="Times New Roman"/>
          <w:color w:val="000000"/>
          <w:kern w:val="0"/>
          <w:sz w:val="32"/>
          <w:szCs w:val="32"/>
        </w:rPr>
        <w:t>检测结果为</w:t>
      </w:r>
      <w:r>
        <w:rPr>
          <w:rFonts w:ascii="Times New Roman" w:eastAsia="仿宋_GB2312" w:hAnsi="Times New Roman"/>
          <w:color w:val="000000"/>
          <w:kern w:val="0"/>
          <w:sz w:val="32"/>
          <w:szCs w:val="32"/>
        </w:rPr>
        <w:t>HER2</w:t>
      </w:r>
      <w:r>
        <w:rPr>
          <w:rFonts w:ascii="Times New Roman" w:eastAsia="仿宋_GB2312" w:hAnsi="Times New Roman"/>
          <w:color w:val="000000"/>
          <w:kern w:val="0"/>
          <w:sz w:val="32"/>
          <w:szCs w:val="32"/>
        </w:rPr>
        <w:t>（</w:t>
      </w:r>
      <w:r>
        <w:rPr>
          <w:rFonts w:ascii="Times New Roman" w:eastAsia="仿宋_GB2312" w:hAnsi="Times New Roman"/>
          <w:color w:val="000000"/>
          <w:kern w:val="0"/>
          <w:sz w:val="32"/>
          <w:szCs w:val="32"/>
        </w:rPr>
        <w:t>2+</w:t>
      </w:r>
      <w:r>
        <w:rPr>
          <w:rFonts w:ascii="Times New Roman" w:eastAsia="仿宋_GB2312" w:hAnsi="Times New Roman"/>
          <w:color w:val="000000"/>
          <w:kern w:val="0"/>
          <w:sz w:val="32"/>
          <w:szCs w:val="32"/>
        </w:rPr>
        <w:t>）样本的</w:t>
      </w:r>
      <w:r>
        <w:rPr>
          <w:rFonts w:ascii="Times New Roman" w:eastAsia="仿宋_GB2312" w:hAnsi="Times New Roman"/>
          <w:color w:val="000000"/>
          <w:kern w:val="0"/>
          <w:sz w:val="32"/>
          <w:szCs w:val="32"/>
        </w:rPr>
        <w:t>HER2</w:t>
      </w:r>
      <w:r>
        <w:rPr>
          <w:rFonts w:ascii="Times New Roman" w:eastAsia="仿宋_GB2312" w:hAnsi="Times New Roman"/>
          <w:color w:val="000000"/>
          <w:kern w:val="0"/>
          <w:sz w:val="32"/>
          <w:szCs w:val="32"/>
        </w:rPr>
        <w:t>基因扩增状态的检测能力。</w:t>
      </w:r>
    </w:p>
    <w:p w:rsidR="009A28FC" w:rsidRDefault="00401542">
      <w:pPr>
        <w:spacing w:line="52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hint="eastAsia"/>
          <w:color w:val="000000"/>
          <w:kern w:val="0"/>
          <w:sz w:val="32"/>
          <w:szCs w:val="32"/>
        </w:rPr>
        <w:t>2.7</w:t>
      </w:r>
      <w:r>
        <w:rPr>
          <w:rFonts w:ascii="Times New Roman" w:eastAsia="仿宋_GB2312" w:hAnsi="Times New Roman"/>
          <w:color w:val="000000"/>
          <w:kern w:val="0"/>
          <w:sz w:val="32"/>
          <w:szCs w:val="32"/>
        </w:rPr>
        <w:t>精密度</w:t>
      </w:r>
    </w:p>
    <w:p w:rsidR="009A28FC" w:rsidRDefault="00401542">
      <w:pPr>
        <w:spacing w:line="52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申请人应充分考虑到配套检测系统以及使用环境的因素：包括荧光显微镜的特征、激发光源及过滤器的性能参数、物镜放大倍数等，以及不同时间、地点、操作人员、检测次数对结果判读的影响；对可能导致检测之间差异的主要变量进行验证。用于精密度评价的参考品应选择</w:t>
      </w:r>
      <w:r>
        <w:rPr>
          <w:rFonts w:ascii="Times New Roman" w:eastAsia="仿宋_GB2312" w:hAnsi="Times New Roman"/>
          <w:color w:val="000000"/>
          <w:kern w:val="0"/>
          <w:sz w:val="32"/>
          <w:szCs w:val="32"/>
        </w:rPr>
        <w:t>HER2</w:t>
      </w:r>
      <w:r>
        <w:rPr>
          <w:rFonts w:ascii="Times New Roman" w:eastAsia="仿宋_GB2312" w:hAnsi="Times New Roman"/>
          <w:color w:val="000000"/>
          <w:kern w:val="0"/>
          <w:sz w:val="32"/>
          <w:szCs w:val="32"/>
        </w:rPr>
        <w:t>扩增、</w:t>
      </w:r>
      <w:r>
        <w:rPr>
          <w:rFonts w:ascii="Times New Roman" w:eastAsia="仿宋_GB2312" w:hAnsi="Times New Roman"/>
          <w:color w:val="000000"/>
          <w:kern w:val="0"/>
          <w:sz w:val="32"/>
          <w:szCs w:val="32"/>
        </w:rPr>
        <w:t>HER2</w:t>
      </w:r>
      <w:r>
        <w:rPr>
          <w:rFonts w:ascii="Times New Roman" w:eastAsia="仿宋_GB2312" w:hAnsi="Times New Roman"/>
          <w:color w:val="000000"/>
          <w:kern w:val="0"/>
          <w:sz w:val="32"/>
          <w:szCs w:val="32"/>
        </w:rPr>
        <w:t>无扩增以及临界值的连续切片组织样本。其中临界值样本和</w:t>
      </w:r>
      <w:r>
        <w:rPr>
          <w:rFonts w:ascii="Times New Roman" w:eastAsia="仿宋_GB2312" w:hAnsi="Times New Roman" w:hint="eastAsia"/>
          <w:color w:val="000000"/>
          <w:kern w:val="0"/>
          <w:sz w:val="32"/>
          <w:szCs w:val="32"/>
        </w:rPr>
        <w:t>H</w:t>
      </w:r>
      <w:r>
        <w:rPr>
          <w:rFonts w:ascii="Times New Roman" w:eastAsia="仿宋_GB2312" w:hAnsi="Times New Roman"/>
          <w:color w:val="000000"/>
          <w:kern w:val="0"/>
          <w:sz w:val="32"/>
          <w:szCs w:val="32"/>
        </w:rPr>
        <w:t>ER2</w:t>
      </w:r>
      <w:r>
        <w:rPr>
          <w:rFonts w:ascii="Times New Roman" w:eastAsia="仿宋_GB2312" w:hAnsi="Times New Roman" w:hint="eastAsia"/>
          <w:color w:val="000000"/>
          <w:kern w:val="0"/>
          <w:sz w:val="32"/>
          <w:szCs w:val="32"/>
        </w:rPr>
        <w:t>扩增</w:t>
      </w:r>
      <w:r>
        <w:rPr>
          <w:rFonts w:ascii="Times New Roman" w:eastAsia="仿宋_GB2312" w:hAnsi="Times New Roman"/>
          <w:color w:val="000000"/>
          <w:kern w:val="0"/>
          <w:sz w:val="32"/>
          <w:szCs w:val="32"/>
        </w:rPr>
        <w:t>的样本应分别设置验收标准（标准差以及变异系数的范围）。</w:t>
      </w:r>
      <w:r>
        <w:rPr>
          <w:rFonts w:ascii="Times New Roman" w:eastAsia="仿宋_GB2312" w:hAnsi="Times New Roman"/>
          <w:color w:val="000000"/>
          <w:kern w:val="0"/>
          <w:sz w:val="32"/>
          <w:szCs w:val="32"/>
        </w:rPr>
        <w:t>建议参考下述方法进行各个指标的评价：</w:t>
      </w:r>
    </w:p>
    <w:p w:rsidR="009A28FC" w:rsidRDefault="00401542">
      <w:pPr>
        <w:spacing w:line="52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hint="eastAsia"/>
          <w:color w:val="000000"/>
          <w:kern w:val="0"/>
          <w:sz w:val="32"/>
          <w:szCs w:val="32"/>
        </w:rPr>
        <w:t>2.7.1</w:t>
      </w:r>
      <w:r>
        <w:rPr>
          <w:rFonts w:ascii="Times New Roman" w:eastAsia="仿宋_GB2312" w:hAnsi="Times New Roman"/>
          <w:color w:val="000000"/>
          <w:kern w:val="0"/>
          <w:sz w:val="32"/>
          <w:szCs w:val="32"/>
        </w:rPr>
        <w:t>批内精密度：由同一操作人员使用同一批次产品进行检测，每例样本重复检测多次，对结果判读的一致性进行统计分析。</w:t>
      </w:r>
    </w:p>
    <w:p w:rsidR="009A28FC" w:rsidRDefault="00401542">
      <w:pPr>
        <w:spacing w:line="52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hint="eastAsia"/>
          <w:color w:val="000000"/>
          <w:kern w:val="0"/>
          <w:sz w:val="32"/>
          <w:szCs w:val="32"/>
        </w:rPr>
        <w:t>2.7.2</w:t>
      </w:r>
      <w:r>
        <w:rPr>
          <w:rFonts w:ascii="Times New Roman" w:eastAsia="仿宋_GB2312" w:hAnsi="Times New Roman"/>
          <w:color w:val="000000"/>
          <w:kern w:val="0"/>
          <w:sz w:val="32"/>
          <w:szCs w:val="32"/>
        </w:rPr>
        <w:t>批间精密度：由同一操作人员使用多个批次产品进行检测，每例样本重复检测多次，对结果判读的一致性进行分析统</w:t>
      </w:r>
      <w:r>
        <w:rPr>
          <w:rFonts w:ascii="Times New Roman" w:eastAsia="仿宋_GB2312" w:hAnsi="Times New Roman"/>
          <w:color w:val="000000"/>
          <w:kern w:val="0"/>
          <w:sz w:val="32"/>
          <w:szCs w:val="32"/>
        </w:rPr>
        <w:lastRenderedPageBreak/>
        <w:t>计。</w:t>
      </w:r>
    </w:p>
    <w:p w:rsidR="009A28FC" w:rsidRDefault="00401542">
      <w:pPr>
        <w:spacing w:line="52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hint="eastAsia"/>
          <w:color w:val="000000"/>
          <w:kern w:val="0"/>
          <w:sz w:val="32"/>
          <w:szCs w:val="32"/>
        </w:rPr>
        <w:t>2.7.3</w:t>
      </w:r>
      <w:r>
        <w:rPr>
          <w:rFonts w:ascii="Times New Roman" w:eastAsia="仿宋_GB2312" w:hAnsi="Times New Roman"/>
          <w:color w:val="000000"/>
          <w:kern w:val="0"/>
          <w:sz w:val="32"/>
          <w:szCs w:val="32"/>
        </w:rPr>
        <w:t>日间精密度：在多个不同日期，由同一操作人员使用同一批次产品进行检测，对结果判读的一致性进行统计分析。</w:t>
      </w:r>
    </w:p>
    <w:p w:rsidR="009A28FC" w:rsidRDefault="00401542">
      <w:pPr>
        <w:spacing w:line="52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hint="eastAsia"/>
          <w:color w:val="000000"/>
          <w:kern w:val="0"/>
          <w:sz w:val="32"/>
          <w:szCs w:val="32"/>
        </w:rPr>
        <w:t>2.7.4</w:t>
      </w:r>
      <w:r>
        <w:rPr>
          <w:rFonts w:ascii="Times New Roman" w:eastAsia="仿宋_GB2312" w:hAnsi="Times New Roman"/>
          <w:color w:val="000000"/>
          <w:kern w:val="0"/>
          <w:sz w:val="32"/>
          <w:szCs w:val="32"/>
        </w:rPr>
        <w:t>人员间精密度：由数位操作人员使用同一批次产品进行检测，每份样本由数位阅</w:t>
      </w:r>
      <w:proofErr w:type="gramStart"/>
      <w:r>
        <w:rPr>
          <w:rFonts w:ascii="Times New Roman" w:eastAsia="仿宋_GB2312" w:hAnsi="Times New Roman"/>
          <w:color w:val="000000"/>
          <w:kern w:val="0"/>
          <w:sz w:val="32"/>
          <w:szCs w:val="32"/>
        </w:rPr>
        <w:t>片人员</w:t>
      </w:r>
      <w:proofErr w:type="gramEnd"/>
      <w:r>
        <w:rPr>
          <w:rFonts w:ascii="Times New Roman" w:eastAsia="仿宋_GB2312" w:hAnsi="Times New Roman"/>
          <w:color w:val="000000"/>
          <w:kern w:val="0"/>
          <w:sz w:val="32"/>
          <w:szCs w:val="32"/>
        </w:rPr>
        <w:t>进行独立结果判读。对不同操作人员</w:t>
      </w:r>
      <w:r>
        <w:rPr>
          <w:rFonts w:ascii="Times New Roman" w:eastAsia="仿宋_GB2312" w:hAnsi="Times New Roman"/>
          <w:color w:val="000000"/>
          <w:kern w:val="0"/>
          <w:sz w:val="32"/>
          <w:szCs w:val="32"/>
        </w:rPr>
        <w:t>/</w:t>
      </w:r>
      <w:r>
        <w:rPr>
          <w:rFonts w:ascii="Times New Roman" w:eastAsia="仿宋_GB2312" w:hAnsi="Times New Roman"/>
          <w:color w:val="000000"/>
          <w:kern w:val="0"/>
          <w:sz w:val="32"/>
          <w:szCs w:val="32"/>
        </w:rPr>
        <w:t>阅</w:t>
      </w:r>
      <w:proofErr w:type="gramStart"/>
      <w:r>
        <w:rPr>
          <w:rFonts w:ascii="Times New Roman" w:eastAsia="仿宋_GB2312" w:hAnsi="Times New Roman"/>
          <w:color w:val="000000"/>
          <w:kern w:val="0"/>
          <w:sz w:val="32"/>
          <w:szCs w:val="32"/>
        </w:rPr>
        <w:t>片人</w:t>
      </w:r>
      <w:r>
        <w:rPr>
          <w:rFonts w:ascii="Times New Roman" w:eastAsia="仿宋_GB2312" w:hAnsi="Times New Roman"/>
          <w:color w:val="000000"/>
          <w:kern w:val="0"/>
          <w:sz w:val="32"/>
          <w:szCs w:val="32"/>
        </w:rPr>
        <w:t>员</w:t>
      </w:r>
      <w:proofErr w:type="gramEnd"/>
      <w:r>
        <w:rPr>
          <w:rFonts w:ascii="Times New Roman" w:eastAsia="仿宋_GB2312" w:hAnsi="Times New Roman"/>
          <w:color w:val="000000"/>
          <w:kern w:val="0"/>
          <w:sz w:val="32"/>
          <w:szCs w:val="32"/>
        </w:rPr>
        <w:t>对同一例组织样本检验方法以及结果判读的一致性进行分析统计。</w:t>
      </w:r>
    </w:p>
    <w:p w:rsidR="009A28FC" w:rsidRDefault="00401542">
      <w:pPr>
        <w:spacing w:line="52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hint="eastAsia"/>
          <w:color w:val="000000"/>
          <w:kern w:val="0"/>
          <w:sz w:val="32"/>
          <w:szCs w:val="32"/>
        </w:rPr>
        <w:t>2.7.5</w:t>
      </w:r>
      <w:r>
        <w:rPr>
          <w:rFonts w:ascii="Times New Roman" w:eastAsia="仿宋_GB2312" w:hAnsi="Times New Roman" w:hint="eastAsia"/>
          <w:color w:val="000000"/>
          <w:kern w:val="0"/>
          <w:sz w:val="32"/>
          <w:szCs w:val="32"/>
        </w:rPr>
        <w:t>实验</w:t>
      </w:r>
      <w:r>
        <w:rPr>
          <w:rFonts w:ascii="Times New Roman" w:eastAsia="仿宋_GB2312" w:hAnsi="Times New Roman"/>
          <w:color w:val="000000"/>
          <w:kern w:val="0"/>
          <w:sz w:val="32"/>
          <w:szCs w:val="32"/>
        </w:rPr>
        <w:t>室间精密度：建议申请人选择不同的实验室进行检测间一致性的评价。</w:t>
      </w:r>
    </w:p>
    <w:p w:rsidR="009A28FC" w:rsidRDefault="00401542">
      <w:pPr>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2.</w:t>
      </w:r>
      <w:r>
        <w:rPr>
          <w:rFonts w:ascii="Times New Roman" w:eastAsia="仿宋_GB2312" w:hAnsi="Times New Roman" w:hint="eastAsia"/>
          <w:color w:val="000000"/>
          <w:sz w:val="32"/>
          <w:szCs w:val="32"/>
        </w:rPr>
        <w:t>8</w:t>
      </w:r>
      <w:r>
        <w:rPr>
          <w:rFonts w:ascii="Times New Roman" w:eastAsia="仿宋_GB2312" w:hAnsi="Times New Roman" w:hint="eastAsia"/>
          <w:color w:val="000000"/>
          <w:sz w:val="32"/>
          <w:szCs w:val="32"/>
        </w:rPr>
        <w:t>反应体系</w:t>
      </w:r>
    </w:p>
    <w:p w:rsidR="009A28FC" w:rsidRDefault="00401542">
      <w:pPr>
        <w:spacing w:line="520" w:lineRule="exact"/>
        <w:ind w:firstLineChars="200" w:firstLine="640"/>
        <w:rPr>
          <w:rFonts w:ascii="Times New Roman" w:eastAsia="仿宋_GB2312" w:hAnsi="Times New Roman"/>
          <w:b/>
          <w:color w:val="000000"/>
          <w:kern w:val="0"/>
          <w:sz w:val="32"/>
          <w:szCs w:val="32"/>
        </w:rPr>
      </w:pPr>
      <w:r>
        <w:rPr>
          <w:rFonts w:ascii="Times New Roman" w:eastAsia="仿宋_GB2312" w:hAnsi="Times New Roman"/>
          <w:color w:val="000000"/>
          <w:kern w:val="0"/>
          <w:sz w:val="32"/>
          <w:szCs w:val="32"/>
        </w:rPr>
        <w:t>申请人应建立适当的反应体系，以平衡最佳检测信号和背景强度的关系。反应过程包括样本预处理和杂交检测两个步骤，其中</w:t>
      </w:r>
      <w:r>
        <w:rPr>
          <w:rFonts w:ascii="Times New Roman" w:eastAsia="仿宋_GB2312" w:hAnsi="Times New Roman" w:hint="eastAsia"/>
          <w:color w:val="000000"/>
          <w:kern w:val="0"/>
          <w:sz w:val="32"/>
          <w:szCs w:val="32"/>
        </w:rPr>
        <w:t>样本预处理</w:t>
      </w:r>
      <w:r>
        <w:rPr>
          <w:rFonts w:ascii="Times New Roman" w:eastAsia="仿宋_GB2312" w:hAnsi="Times New Roman"/>
          <w:color w:val="000000"/>
          <w:kern w:val="0"/>
          <w:sz w:val="32"/>
          <w:szCs w:val="32"/>
        </w:rPr>
        <w:t>过程一般包括样本脱蜡、蛋白酶</w:t>
      </w:r>
      <w:r>
        <w:rPr>
          <w:rFonts w:ascii="Times New Roman" w:eastAsia="仿宋_GB2312" w:hAnsi="Times New Roman" w:hint="eastAsia"/>
          <w:color w:val="000000"/>
          <w:kern w:val="0"/>
          <w:sz w:val="32"/>
          <w:szCs w:val="32"/>
        </w:rPr>
        <w:t>消化等</w:t>
      </w:r>
      <w:r>
        <w:rPr>
          <w:rFonts w:ascii="Times New Roman" w:eastAsia="仿宋_GB2312" w:hAnsi="Times New Roman"/>
          <w:color w:val="000000"/>
          <w:kern w:val="0"/>
          <w:sz w:val="32"/>
          <w:szCs w:val="32"/>
        </w:rPr>
        <w:t>环节，杂交检测过程一般包括变性、杂交、杂交后洗涤、</w:t>
      </w:r>
      <w:r>
        <w:rPr>
          <w:rFonts w:ascii="Times New Roman" w:eastAsia="仿宋_GB2312" w:hAnsi="Times New Roman"/>
          <w:color w:val="000000"/>
          <w:kern w:val="0"/>
          <w:sz w:val="32"/>
          <w:szCs w:val="32"/>
        </w:rPr>
        <w:t>DAPI</w:t>
      </w:r>
      <w:r>
        <w:rPr>
          <w:rFonts w:ascii="Times New Roman" w:eastAsia="仿宋_GB2312" w:hAnsi="Times New Roman"/>
          <w:color w:val="000000"/>
          <w:kern w:val="0"/>
          <w:sz w:val="32"/>
          <w:szCs w:val="32"/>
        </w:rPr>
        <w:t>复染四个环节。另外，应合</w:t>
      </w:r>
      <w:proofErr w:type="gramStart"/>
      <w:r>
        <w:rPr>
          <w:rFonts w:ascii="Times New Roman" w:eastAsia="仿宋_GB2312" w:hAnsi="Times New Roman"/>
          <w:color w:val="000000"/>
          <w:kern w:val="0"/>
          <w:sz w:val="32"/>
          <w:szCs w:val="32"/>
        </w:rPr>
        <w:t>理控制</w:t>
      </w:r>
      <w:proofErr w:type="gramEnd"/>
      <w:r>
        <w:rPr>
          <w:rFonts w:ascii="Times New Roman" w:eastAsia="仿宋_GB2312" w:hAnsi="Times New Roman"/>
          <w:color w:val="000000"/>
          <w:kern w:val="0"/>
          <w:sz w:val="32"/>
          <w:szCs w:val="32"/>
        </w:rPr>
        <w:t>样本的质量并明确要求。</w:t>
      </w:r>
    </w:p>
    <w:p w:rsidR="009A28FC" w:rsidRDefault="00401542">
      <w:pPr>
        <w:spacing w:line="52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s="Times New Roman"/>
          <w:color w:val="000000"/>
          <w:kern w:val="0"/>
          <w:sz w:val="32"/>
          <w:szCs w:val="32"/>
        </w:rPr>
        <w:t>2.</w:t>
      </w:r>
      <w:r>
        <w:rPr>
          <w:rFonts w:ascii="Times New Roman" w:eastAsia="仿宋_GB2312" w:hAnsi="Times New Roman" w:cs="Times New Roman" w:hint="eastAsia"/>
          <w:color w:val="000000"/>
          <w:kern w:val="0"/>
          <w:sz w:val="32"/>
          <w:szCs w:val="32"/>
        </w:rPr>
        <w:t>8</w:t>
      </w:r>
      <w:r>
        <w:rPr>
          <w:rFonts w:ascii="Times New Roman" w:eastAsia="仿宋_GB2312" w:hAnsi="Times New Roman" w:cs="Times New Roman"/>
          <w:color w:val="000000"/>
          <w:kern w:val="0"/>
          <w:sz w:val="32"/>
          <w:szCs w:val="32"/>
        </w:rPr>
        <w:t>.1</w:t>
      </w:r>
      <w:r>
        <w:rPr>
          <w:rFonts w:ascii="Times New Roman" w:eastAsia="仿宋_GB2312" w:hAnsi="Times New Roman"/>
          <w:color w:val="000000"/>
          <w:kern w:val="0"/>
          <w:sz w:val="32"/>
          <w:szCs w:val="32"/>
        </w:rPr>
        <w:t>样本的采集、固定、制片、保存和运输：</w:t>
      </w:r>
      <w:r>
        <w:rPr>
          <w:rFonts w:ascii="Times New Roman" w:eastAsia="仿宋_GB2312" w:hAnsi="Times New Roman" w:hint="eastAsia"/>
          <w:color w:val="000000"/>
          <w:kern w:val="0"/>
          <w:sz w:val="32"/>
          <w:szCs w:val="32"/>
        </w:rPr>
        <w:t>明确采样部位及方法、样本中浸润</w:t>
      </w:r>
      <w:r>
        <w:rPr>
          <w:rFonts w:ascii="Times New Roman" w:eastAsia="仿宋_GB2312" w:hAnsi="Times New Roman" w:hint="eastAsia"/>
          <w:color w:val="000000"/>
          <w:kern w:val="0"/>
          <w:sz w:val="32"/>
          <w:szCs w:val="32"/>
        </w:rPr>
        <w:t>性</w:t>
      </w:r>
      <w:r>
        <w:rPr>
          <w:rFonts w:ascii="Times New Roman" w:eastAsia="仿宋_GB2312" w:hAnsi="Times New Roman" w:hint="eastAsia"/>
          <w:color w:val="000000"/>
          <w:kern w:val="0"/>
          <w:sz w:val="32"/>
          <w:szCs w:val="32"/>
        </w:rPr>
        <w:t>肿瘤组织含量、离体到固定的温度及时间、固定温度及时间，并对保存和运输的条件和时间进行研究或验证</w:t>
      </w:r>
      <w:r>
        <w:rPr>
          <w:rFonts w:ascii="Times New Roman" w:eastAsia="仿宋_GB2312" w:hAnsi="Times New Roman"/>
          <w:color w:val="000000"/>
          <w:kern w:val="0"/>
          <w:sz w:val="32"/>
          <w:szCs w:val="32"/>
        </w:rPr>
        <w:t>。另外，切片质量对检测结果的判读十分重要，应对切片厚度进行研究或者验证，要求计数区域的细胞胞核边界完整、</w:t>
      </w:r>
      <w:r>
        <w:rPr>
          <w:rFonts w:ascii="Times New Roman" w:eastAsia="仿宋_GB2312" w:hAnsi="Times New Roman"/>
          <w:color w:val="000000"/>
          <w:kern w:val="0"/>
          <w:sz w:val="32"/>
          <w:szCs w:val="32"/>
        </w:rPr>
        <w:t>DAPI</w:t>
      </w:r>
      <w:r>
        <w:rPr>
          <w:rFonts w:ascii="Times New Roman" w:eastAsia="仿宋_GB2312" w:hAnsi="Times New Roman"/>
          <w:color w:val="000000"/>
          <w:kern w:val="0"/>
          <w:sz w:val="32"/>
          <w:szCs w:val="32"/>
        </w:rPr>
        <w:t>染色均一、细胞核无重叠、荧光信号清晰。不同类型的样本应分别验证。具体可参考国际或国内相关标准操作规程；如与标准操作规程有差异，应进行充分研究。</w:t>
      </w:r>
    </w:p>
    <w:p w:rsidR="009A28FC" w:rsidRDefault="00401542">
      <w:pPr>
        <w:spacing w:line="520" w:lineRule="exact"/>
        <w:ind w:firstLineChars="200" w:firstLine="640"/>
        <w:rPr>
          <w:rFonts w:ascii="Times New Roman" w:eastAsia="仿宋_GB2312" w:hAnsi="Times New Roman"/>
          <w:b/>
          <w:color w:val="000000"/>
          <w:kern w:val="0"/>
          <w:sz w:val="32"/>
          <w:szCs w:val="32"/>
        </w:rPr>
      </w:pPr>
      <w:r>
        <w:rPr>
          <w:rFonts w:ascii="Times New Roman" w:eastAsia="仿宋_GB2312" w:hAnsi="Times New Roman" w:hint="eastAsia"/>
          <w:color w:val="000000"/>
          <w:kern w:val="0"/>
          <w:sz w:val="32"/>
          <w:szCs w:val="32"/>
        </w:rPr>
        <w:t>2.8.2</w:t>
      </w:r>
      <w:r>
        <w:rPr>
          <w:rFonts w:ascii="Times New Roman" w:eastAsia="仿宋_GB2312" w:hAnsi="Times New Roman"/>
          <w:color w:val="000000"/>
          <w:kern w:val="0"/>
          <w:sz w:val="32"/>
          <w:szCs w:val="32"/>
        </w:rPr>
        <w:t>样本预处理：应对脱蜡条件、预处理温度及时间、特定</w:t>
      </w:r>
      <w:r>
        <w:rPr>
          <w:rFonts w:ascii="Times New Roman" w:eastAsia="仿宋_GB2312" w:hAnsi="Times New Roman"/>
          <w:color w:val="000000"/>
          <w:kern w:val="0"/>
          <w:sz w:val="32"/>
          <w:szCs w:val="32"/>
        </w:rPr>
        <w:lastRenderedPageBreak/>
        <w:t>盐溶液的离子强度、蛋白酶的消化条件进行充分研究，以避免处理过程中组织和</w:t>
      </w:r>
      <w:r>
        <w:rPr>
          <w:rFonts w:ascii="Times New Roman" w:eastAsia="仿宋_GB2312" w:hAnsi="Times New Roman"/>
          <w:color w:val="000000"/>
          <w:kern w:val="0"/>
          <w:sz w:val="32"/>
          <w:szCs w:val="32"/>
        </w:rPr>
        <w:t>DNA</w:t>
      </w:r>
      <w:r>
        <w:rPr>
          <w:rFonts w:ascii="Times New Roman" w:eastAsia="仿宋_GB2312" w:hAnsi="Times New Roman"/>
          <w:color w:val="000000"/>
          <w:kern w:val="0"/>
          <w:sz w:val="32"/>
          <w:szCs w:val="32"/>
        </w:rPr>
        <w:t>的损失造成检测结果出现假阴性</w:t>
      </w:r>
      <w:r>
        <w:rPr>
          <w:rFonts w:ascii="Times New Roman" w:eastAsia="仿宋_GB2312" w:hAnsi="Times New Roman"/>
          <w:color w:val="000000"/>
          <w:kern w:val="0"/>
          <w:sz w:val="32"/>
          <w:szCs w:val="32"/>
        </w:rPr>
        <w:t>。如其中预处理过程可选择多个温度</w:t>
      </w:r>
      <w:r>
        <w:rPr>
          <w:rFonts w:ascii="Times New Roman" w:eastAsia="仿宋_GB2312" w:hAnsi="Times New Roman"/>
          <w:color w:val="000000"/>
          <w:kern w:val="0"/>
          <w:sz w:val="32"/>
          <w:szCs w:val="32"/>
        </w:rPr>
        <w:t>/</w:t>
      </w:r>
      <w:r>
        <w:rPr>
          <w:rFonts w:ascii="Times New Roman" w:eastAsia="仿宋_GB2312" w:hAnsi="Times New Roman"/>
          <w:color w:val="000000"/>
          <w:kern w:val="0"/>
          <w:sz w:val="32"/>
          <w:szCs w:val="32"/>
        </w:rPr>
        <w:t>时间的组合，蛋白酶消化过程可选择多个持续时间进行研究。温度</w:t>
      </w:r>
      <w:r>
        <w:rPr>
          <w:rFonts w:ascii="Times New Roman" w:eastAsia="仿宋_GB2312" w:hAnsi="Times New Roman"/>
          <w:color w:val="000000"/>
          <w:kern w:val="0"/>
          <w:sz w:val="32"/>
          <w:szCs w:val="32"/>
        </w:rPr>
        <w:t>/</w:t>
      </w:r>
      <w:r>
        <w:rPr>
          <w:rFonts w:ascii="Times New Roman" w:eastAsia="仿宋_GB2312" w:hAnsi="Times New Roman"/>
          <w:color w:val="000000"/>
          <w:kern w:val="0"/>
          <w:sz w:val="32"/>
          <w:szCs w:val="32"/>
        </w:rPr>
        <w:t>时间的组合是指首先在同一时期的几个不同温度下进行，然后在优化温度条件下的几个不同持续时间进行。</w:t>
      </w:r>
    </w:p>
    <w:p w:rsidR="009A28FC" w:rsidRDefault="00401542">
      <w:pPr>
        <w:spacing w:line="52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hint="eastAsia"/>
          <w:color w:val="000000"/>
          <w:kern w:val="0"/>
          <w:sz w:val="32"/>
          <w:szCs w:val="32"/>
        </w:rPr>
        <w:t>2.8.3</w:t>
      </w:r>
      <w:r>
        <w:rPr>
          <w:rFonts w:ascii="Times New Roman" w:eastAsia="仿宋_GB2312" w:hAnsi="Times New Roman"/>
          <w:color w:val="000000"/>
          <w:kern w:val="0"/>
          <w:sz w:val="32"/>
          <w:szCs w:val="32"/>
        </w:rPr>
        <w:t>样本变性条件：应对样本变性处理的温度、持续时间的组合进行充分研究，以保证样本中</w:t>
      </w:r>
      <w:r>
        <w:rPr>
          <w:rFonts w:ascii="Times New Roman" w:eastAsia="仿宋_GB2312" w:hAnsi="Times New Roman"/>
          <w:color w:val="000000"/>
          <w:kern w:val="0"/>
          <w:sz w:val="32"/>
          <w:szCs w:val="32"/>
        </w:rPr>
        <w:t>DNA</w:t>
      </w:r>
      <w:r>
        <w:rPr>
          <w:rFonts w:ascii="Times New Roman" w:eastAsia="仿宋_GB2312" w:hAnsi="Times New Roman"/>
          <w:color w:val="000000"/>
          <w:kern w:val="0"/>
          <w:sz w:val="32"/>
          <w:szCs w:val="32"/>
        </w:rPr>
        <w:t>双链的充分解链，有利于后续探针和样本的结合，提高杂交效率以及保证杂交的特异性。如选择多个温度</w:t>
      </w:r>
      <w:r>
        <w:rPr>
          <w:rFonts w:ascii="Times New Roman" w:eastAsia="仿宋_GB2312" w:hAnsi="Times New Roman"/>
          <w:color w:val="000000"/>
          <w:kern w:val="0"/>
          <w:sz w:val="32"/>
          <w:szCs w:val="32"/>
        </w:rPr>
        <w:t>/</w:t>
      </w:r>
      <w:r>
        <w:rPr>
          <w:rFonts w:ascii="Times New Roman" w:eastAsia="仿宋_GB2312" w:hAnsi="Times New Roman"/>
          <w:color w:val="000000"/>
          <w:kern w:val="0"/>
          <w:sz w:val="32"/>
          <w:szCs w:val="32"/>
        </w:rPr>
        <w:t>时间的组合进行研究。</w:t>
      </w:r>
    </w:p>
    <w:p w:rsidR="009A28FC" w:rsidRDefault="00401542">
      <w:pPr>
        <w:spacing w:line="52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hint="eastAsia"/>
          <w:color w:val="000000"/>
          <w:kern w:val="0"/>
          <w:sz w:val="32"/>
          <w:szCs w:val="32"/>
        </w:rPr>
        <w:t>2.8.4</w:t>
      </w:r>
      <w:r>
        <w:rPr>
          <w:rFonts w:ascii="Times New Roman" w:eastAsia="仿宋_GB2312" w:hAnsi="Times New Roman"/>
          <w:color w:val="000000"/>
          <w:kern w:val="0"/>
          <w:sz w:val="32"/>
          <w:szCs w:val="32"/>
        </w:rPr>
        <w:t>样本杂交条件：应对样本杂交步骤的温度、持续时间的组合进行充分研究，以达到探针和样本的最佳结合效率。如选</w:t>
      </w:r>
      <w:r>
        <w:rPr>
          <w:rFonts w:ascii="Times New Roman" w:eastAsia="仿宋_GB2312" w:hAnsi="Times New Roman"/>
          <w:color w:val="000000"/>
          <w:kern w:val="0"/>
          <w:sz w:val="32"/>
          <w:szCs w:val="32"/>
        </w:rPr>
        <w:t>择多个温度</w:t>
      </w:r>
      <w:r>
        <w:rPr>
          <w:rFonts w:ascii="Times New Roman" w:eastAsia="仿宋_GB2312" w:hAnsi="Times New Roman"/>
          <w:color w:val="000000"/>
          <w:kern w:val="0"/>
          <w:sz w:val="32"/>
          <w:szCs w:val="32"/>
        </w:rPr>
        <w:t>/</w:t>
      </w:r>
      <w:r>
        <w:rPr>
          <w:rFonts w:ascii="Times New Roman" w:eastAsia="仿宋_GB2312" w:hAnsi="Times New Roman"/>
          <w:color w:val="000000"/>
          <w:kern w:val="0"/>
          <w:sz w:val="32"/>
          <w:szCs w:val="32"/>
        </w:rPr>
        <w:t>时间的组合进行研究。</w:t>
      </w:r>
    </w:p>
    <w:p w:rsidR="009A28FC" w:rsidRDefault="00401542">
      <w:pPr>
        <w:spacing w:line="52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hint="eastAsia"/>
          <w:color w:val="000000"/>
          <w:kern w:val="0"/>
          <w:sz w:val="32"/>
          <w:szCs w:val="32"/>
        </w:rPr>
        <w:t>2.8.5</w:t>
      </w:r>
      <w:r>
        <w:rPr>
          <w:rFonts w:ascii="Times New Roman" w:eastAsia="仿宋_GB2312" w:hAnsi="Times New Roman"/>
          <w:color w:val="000000"/>
          <w:kern w:val="0"/>
          <w:sz w:val="32"/>
          <w:szCs w:val="32"/>
        </w:rPr>
        <w:t>杂交后洗涤条件：应对缓冲液的盐浓度和去垢剂成分，以及清洗温度、时间、次数的组合进行充分研究，以达到最佳的杂交严格度。要求尽可能去除样本中的核蛋白等干扰物质，避免非特异性杂交，降低背景干扰，并且增加目标信号的强度。如选择多个缓冲液浓度以及多个清洗条件的组合进行研究。</w:t>
      </w:r>
    </w:p>
    <w:p w:rsidR="009A28FC" w:rsidRDefault="008F0522">
      <w:pPr>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3.</w:t>
      </w:r>
      <w:r w:rsidR="00401542">
        <w:rPr>
          <w:rFonts w:ascii="Times New Roman" w:eastAsia="仿宋_GB2312" w:hAnsi="Times New Roman"/>
          <w:color w:val="000000"/>
          <w:sz w:val="32"/>
          <w:szCs w:val="32"/>
        </w:rPr>
        <w:t>稳定性研究</w:t>
      </w:r>
    </w:p>
    <w:p w:rsidR="009A28FC" w:rsidRDefault="00401542">
      <w:pPr>
        <w:spacing w:line="520" w:lineRule="exact"/>
        <w:ind w:firstLineChars="200" w:firstLine="640"/>
        <w:rPr>
          <w:rFonts w:ascii="Times New Roman" w:eastAsia="仿宋_GB2312" w:hAnsi="Times New Roman" w:cs="宋体"/>
          <w:color w:val="000000"/>
          <w:sz w:val="32"/>
          <w:szCs w:val="32"/>
        </w:rPr>
      </w:pPr>
      <w:r>
        <w:rPr>
          <w:rFonts w:eastAsia="仿宋_GB2312"/>
          <w:color w:val="000000"/>
          <w:kern w:val="0"/>
          <w:sz w:val="32"/>
          <w:szCs w:val="32"/>
        </w:rPr>
        <w:t>根据本产品特性，申请人应分别从实时稳定性、运输稳定性、开瓶</w:t>
      </w:r>
      <w:r>
        <w:rPr>
          <w:rFonts w:eastAsia="仿宋_GB2312"/>
          <w:color w:val="000000"/>
          <w:kern w:val="0"/>
          <w:sz w:val="32"/>
          <w:szCs w:val="32"/>
        </w:rPr>
        <w:t>/</w:t>
      </w:r>
      <w:r>
        <w:rPr>
          <w:rFonts w:eastAsia="仿宋_GB2312"/>
          <w:color w:val="000000"/>
          <w:kern w:val="0"/>
          <w:sz w:val="32"/>
          <w:szCs w:val="32"/>
        </w:rPr>
        <w:t>冻融稳定性，以及使用过程中的杂交后信号稳定性、探针的光照稳定性等方面对产品的稳定性进行研究，充分考虑在实际的运输、保存和使用</w:t>
      </w:r>
      <w:r>
        <w:rPr>
          <w:rFonts w:eastAsia="仿宋_GB2312"/>
          <w:color w:val="000000"/>
          <w:kern w:val="0"/>
          <w:sz w:val="32"/>
          <w:szCs w:val="32"/>
        </w:rPr>
        <w:t>条件下对产品性能的影响。其中使用过程稳定性</w:t>
      </w:r>
      <w:proofErr w:type="gramStart"/>
      <w:r>
        <w:rPr>
          <w:rFonts w:eastAsia="仿宋_GB2312"/>
          <w:color w:val="000000"/>
          <w:kern w:val="0"/>
          <w:sz w:val="32"/>
          <w:szCs w:val="32"/>
        </w:rPr>
        <w:t>应评价</w:t>
      </w:r>
      <w:proofErr w:type="gramEnd"/>
      <w:r>
        <w:rPr>
          <w:rFonts w:eastAsia="仿宋_GB2312"/>
          <w:color w:val="000000"/>
          <w:kern w:val="0"/>
          <w:sz w:val="32"/>
          <w:szCs w:val="32"/>
        </w:rPr>
        <w:t>在实际使用的实验室环境条件下，不同的光照条件对</w:t>
      </w:r>
      <w:r>
        <w:rPr>
          <w:rFonts w:eastAsia="仿宋_GB2312"/>
          <w:color w:val="000000"/>
          <w:kern w:val="0"/>
          <w:sz w:val="32"/>
          <w:szCs w:val="32"/>
        </w:rPr>
        <w:lastRenderedPageBreak/>
        <w:t>荧光标记探针以及杂交后样本荧光信号强度的影响，注意应覆盖检测的全过程。评价指标应至少包括灵敏度、特异性以及荧光信号强度。</w:t>
      </w:r>
      <w:r>
        <w:rPr>
          <w:rFonts w:ascii="Times New Roman" w:eastAsia="仿宋_GB2312" w:hAnsi="Times New Roman" w:cs="宋体" w:hint="eastAsia"/>
          <w:color w:val="000000"/>
          <w:sz w:val="32"/>
          <w:szCs w:val="32"/>
        </w:rPr>
        <w:t>申请人可根据实际需要选择合理的稳定性研究方案。稳定性研究资料应包括具体的实施方案、详细的研究数据以及结论。对于实时稳定性研究，应提供至少三批试剂在实际储存条件下保存至成品有效期后的研究资料。</w:t>
      </w:r>
    </w:p>
    <w:p w:rsidR="009A28FC" w:rsidRDefault="008F0522">
      <w:pPr>
        <w:spacing w:line="520" w:lineRule="exact"/>
        <w:ind w:firstLineChars="200" w:firstLine="640"/>
        <w:rPr>
          <w:rFonts w:ascii="Times New Roman" w:eastAsia="仿宋_GB2312" w:hAnsi="Times New Roman"/>
          <w:sz w:val="32"/>
          <w:szCs w:val="32"/>
        </w:rPr>
      </w:pPr>
      <w:r>
        <w:rPr>
          <w:rFonts w:ascii="Times New Roman" w:eastAsia="仿宋_GB2312" w:hAnsi="Times New Roman"/>
          <w:color w:val="000000"/>
          <w:sz w:val="32"/>
          <w:szCs w:val="32"/>
        </w:rPr>
        <w:t>4.</w:t>
      </w:r>
      <w:r w:rsidR="00401542">
        <w:rPr>
          <w:rFonts w:ascii="Times New Roman" w:eastAsia="仿宋_GB2312" w:hAnsi="Times New Roman" w:hint="eastAsia"/>
          <w:sz w:val="32"/>
          <w:szCs w:val="32"/>
        </w:rPr>
        <w:t>阳性判断值研究</w:t>
      </w:r>
    </w:p>
    <w:p w:rsidR="009A28FC" w:rsidRDefault="00401542">
      <w:pPr>
        <w:spacing w:line="520" w:lineRule="exact"/>
        <w:ind w:firstLineChars="200" w:firstLine="640"/>
        <w:jc w:val="left"/>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HER2</w:t>
      </w:r>
      <w:r>
        <w:rPr>
          <w:rFonts w:ascii="Times New Roman" w:eastAsia="仿宋_GB2312" w:hAnsi="Times New Roman"/>
          <w:color w:val="000000"/>
          <w:kern w:val="0"/>
          <w:sz w:val="32"/>
          <w:szCs w:val="32"/>
        </w:rPr>
        <w:t>检测结果的判读标准不断进行着更新，申请人应参考</w:t>
      </w:r>
      <w:r>
        <w:rPr>
          <w:rFonts w:ascii="Times New Roman" w:eastAsia="仿宋_GB2312" w:hAnsi="Times New Roman" w:hint="eastAsia"/>
          <w:color w:val="000000"/>
          <w:kern w:val="0"/>
          <w:sz w:val="32"/>
          <w:szCs w:val="32"/>
        </w:rPr>
        <w:t>相关癌种的</w:t>
      </w:r>
      <w:r>
        <w:rPr>
          <w:rFonts w:ascii="Times New Roman" w:eastAsia="仿宋_GB2312" w:hAnsi="Times New Roman"/>
          <w:color w:val="000000"/>
          <w:kern w:val="0"/>
          <w:sz w:val="32"/>
          <w:szCs w:val="32"/>
        </w:rPr>
        <w:t>最新版临床指南性文件建立阳性判断值。应提交申报产品判读规则以及预设阳性判断值所依据的文献资料，并采用具有统计学意义数量的样本对判读规则以及预设阳性判断值进行验证。应包含</w:t>
      </w:r>
      <w:r>
        <w:rPr>
          <w:rFonts w:ascii="Times New Roman" w:eastAsia="仿宋_GB2312" w:hAnsi="Times New Roman"/>
          <w:color w:val="000000"/>
          <w:kern w:val="0"/>
          <w:sz w:val="32"/>
          <w:szCs w:val="32"/>
        </w:rPr>
        <w:t>HER2</w:t>
      </w:r>
      <w:r>
        <w:rPr>
          <w:rFonts w:ascii="Times New Roman" w:eastAsia="仿宋_GB2312" w:hAnsi="Times New Roman"/>
          <w:color w:val="000000"/>
          <w:kern w:val="0"/>
          <w:sz w:val="32"/>
          <w:szCs w:val="32"/>
        </w:rPr>
        <w:t>扩增、</w:t>
      </w:r>
      <w:r>
        <w:rPr>
          <w:rFonts w:ascii="Times New Roman" w:eastAsia="仿宋_GB2312" w:hAnsi="Times New Roman"/>
          <w:color w:val="000000"/>
          <w:kern w:val="0"/>
          <w:sz w:val="32"/>
          <w:szCs w:val="32"/>
        </w:rPr>
        <w:t>HER2</w:t>
      </w:r>
      <w:r>
        <w:rPr>
          <w:rFonts w:ascii="Times New Roman" w:eastAsia="仿宋_GB2312" w:hAnsi="Times New Roman"/>
          <w:color w:val="000000"/>
          <w:kern w:val="0"/>
          <w:sz w:val="32"/>
          <w:szCs w:val="32"/>
        </w:rPr>
        <w:t>无扩增以及一定数量的临界值（阳性判断值附近）组织样本，包括</w:t>
      </w:r>
      <w:r>
        <w:rPr>
          <w:rFonts w:ascii="Times New Roman" w:eastAsia="仿宋_GB2312" w:hAnsi="Times New Roman"/>
          <w:color w:val="000000"/>
          <w:kern w:val="0"/>
          <w:sz w:val="32"/>
          <w:szCs w:val="32"/>
        </w:rPr>
        <w:t>HER2/CEP17</w:t>
      </w:r>
      <w:r>
        <w:rPr>
          <w:rFonts w:ascii="Times New Roman" w:eastAsia="仿宋_GB2312" w:hAnsi="Times New Roman"/>
          <w:color w:val="000000"/>
          <w:kern w:val="0"/>
          <w:sz w:val="32"/>
          <w:szCs w:val="32"/>
        </w:rPr>
        <w:t>荧光信号总数比值在</w:t>
      </w:r>
      <w:r>
        <w:rPr>
          <w:rFonts w:ascii="Times New Roman" w:eastAsia="仿宋_GB2312" w:hAnsi="Times New Roman"/>
          <w:color w:val="000000"/>
          <w:kern w:val="0"/>
          <w:sz w:val="32"/>
          <w:szCs w:val="32"/>
        </w:rPr>
        <w:t>2</w:t>
      </w:r>
      <w:r>
        <w:rPr>
          <w:rFonts w:ascii="Times New Roman" w:eastAsia="仿宋_GB2312" w:hAnsi="Times New Roman"/>
          <w:color w:val="000000"/>
          <w:kern w:val="0"/>
          <w:sz w:val="32"/>
          <w:szCs w:val="32"/>
        </w:rPr>
        <w:t>附近（</w:t>
      </w:r>
      <w:r>
        <w:rPr>
          <w:rFonts w:ascii="Times New Roman" w:eastAsia="仿宋_GB2312" w:hAnsi="Times New Roman"/>
          <w:color w:val="000000"/>
          <w:kern w:val="0"/>
          <w:sz w:val="32"/>
          <w:szCs w:val="32"/>
        </w:rPr>
        <w:t>1.8</w:t>
      </w:r>
      <w:r>
        <w:rPr>
          <w:rFonts w:ascii="Times New Roman" w:eastAsia="仿宋_GB2312" w:hAnsi="Times New Roman"/>
          <w:color w:val="000000"/>
          <w:kern w:val="0"/>
          <w:sz w:val="32"/>
          <w:szCs w:val="32"/>
        </w:rPr>
        <w:t>～</w:t>
      </w:r>
      <w:r>
        <w:rPr>
          <w:rFonts w:ascii="Times New Roman" w:eastAsia="仿宋_GB2312" w:hAnsi="Times New Roman"/>
          <w:color w:val="000000"/>
          <w:kern w:val="0"/>
          <w:sz w:val="32"/>
          <w:szCs w:val="32"/>
        </w:rPr>
        <w:t>2.2</w:t>
      </w:r>
      <w:r>
        <w:rPr>
          <w:rFonts w:ascii="Times New Roman" w:eastAsia="仿宋_GB2312" w:hAnsi="Times New Roman"/>
          <w:color w:val="000000"/>
          <w:kern w:val="0"/>
          <w:sz w:val="32"/>
          <w:szCs w:val="32"/>
        </w:rPr>
        <w:t>），或者每个细胞的平均</w:t>
      </w:r>
      <w:r>
        <w:rPr>
          <w:rFonts w:ascii="Times New Roman" w:eastAsia="仿宋_GB2312" w:hAnsi="Times New Roman"/>
          <w:color w:val="000000"/>
          <w:kern w:val="0"/>
          <w:sz w:val="32"/>
          <w:szCs w:val="32"/>
        </w:rPr>
        <w:t>HER2</w:t>
      </w:r>
      <w:r>
        <w:rPr>
          <w:rFonts w:ascii="Times New Roman" w:eastAsia="仿宋_GB2312" w:hAnsi="Times New Roman"/>
          <w:color w:val="000000"/>
          <w:kern w:val="0"/>
          <w:sz w:val="32"/>
          <w:szCs w:val="32"/>
        </w:rPr>
        <w:t>拷贝数在</w:t>
      </w:r>
      <w:r>
        <w:rPr>
          <w:rFonts w:ascii="Times New Roman" w:eastAsia="仿宋_GB2312" w:hAnsi="Times New Roman"/>
          <w:color w:val="000000"/>
          <w:kern w:val="0"/>
          <w:sz w:val="32"/>
          <w:szCs w:val="32"/>
        </w:rPr>
        <w:t>4</w:t>
      </w:r>
      <w:r>
        <w:rPr>
          <w:rFonts w:ascii="Times New Roman" w:eastAsia="仿宋_GB2312" w:hAnsi="Times New Roman"/>
          <w:color w:val="000000"/>
          <w:kern w:val="0"/>
          <w:sz w:val="32"/>
          <w:szCs w:val="32"/>
        </w:rPr>
        <w:t>～</w:t>
      </w:r>
      <w:r>
        <w:rPr>
          <w:rFonts w:ascii="Times New Roman" w:eastAsia="仿宋_GB2312" w:hAnsi="Times New Roman"/>
          <w:color w:val="000000"/>
          <w:kern w:val="0"/>
          <w:sz w:val="32"/>
          <w:szCs w:val="32"/>
        </w:rPr>
        <w:t>6</w:t>
      </w:r>
      <w:r>
        <w:rPr>
          <w:rFonts w:ascii="Times New Roman" w:eastAsia="仿宋_GB2312" w:hAnsi="Times New Roman"/>
          <w:color w:val="000000"/>
          <w:kern w:val="0"/>
          <w:sz w:val="32"/>
          <w:szCs w:val="32"/>
        </w:rPr>
        <w:t>附近的样本。</w:t>
      </w:r>
    </w:p>
    <w:p w:rsidR="009A28FC" w:rsidRDefault="00401542">
      <w:pPr>
        <w:spacing w:line="520" w:lineRule="exact"/>
        <w:ind w:firstLineChars="200" w:firstLine="640"/>
        <w:jc w:val="left"/>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首先设定检测结果重复性较好的目标，即</w:t>
      </w:r>
      <w:r>
        <w:rPr>
          <w:rFonts w:ascii="Times New Roman" w:eastAsia="仿宋_GB2312" w:hAnsi="Times New Roman"/>
          <w:color w:val="000000"/>
          <w:kern w:val="0"/>
          <w:sz w:val="32"/>
          <w:szCs w:val="32"/>
        </w:rPr>
        <w:t>HER2</w:t>
      </w:r>
      <w:r>
        <w:rPr>
          <w:rFonts w:ascii="Times New Roman" w:eastAsia="仿宋_GB2312" w:hAnsi="Times New Roman"/>
          <w:color w:val="000000"/>
          <w:kern w:val="0"/>
          <w:sz w:val="32"/>
          <w:szCs w:val="32"/>
        </w:rPr>
        <w:t>平均拷贝数或者</w:t>
      </w:r>
      <w:r>
        <w:rPr>
          <w:rFonts w:ascii="Times New Roman" w:eastAsia="仿宋_GB2312" w:hAnsi="Times New Roman"/>
          <w:color w:val="000000"/>
          <w:kern w:val="0"/>
          <w:sz w:val="32"/>
          <w:szCs w:val="32"/>
        </w:rPr>
        <w:t>HER2</w:t>
      </w:r>
      <w:r>
        <w:rPr>
          <w:rFonts w:ascii="Times New Roman" w:eastAsia="仿宋_GB2312" w:hAnsi="Times New Roman"/>
          <w:color w:val="000000"/>
          <w:kern w:val="0"/>
          <w:sz w:val="32"/>
          <w:szCs w:val="32"/>
        </w:rPr>
        <w:t>平均拷贝数</w:t>
      </w:r>
      <w:r>
        <w:rPr>
          <w:rFonts w:ascii="Times New Roman" w:eastAsia="仿宋_GB2312" w:hAnsi="Times New Roman"/>
          <w:color w:val="000000"/>
          <w:kern w:val="0"/>
          <w:sz w:val="32"/>
          <w:szCs w:val="32"/>
        </w:rPr>
        <w:t>/CEP17</w:t>
      </w:r>
      <w:r>
        <w:rPr>
          <w:rFonts w:ascii="Times New Roman" w:eastAsia="仿宋_GB2312" w:hAnsi="Times New Roman"/>
          <w:color w:val="000000"/>
          <w:kern w:val="0"/>
          <w:sz w:val="32"/>
          <w:szCs w:val="32"/>
        </w:rPr>
        <w:t>平均拷贝数的标准差</w:t>
      </w:r>
      <w:r>
        <w:rPr>
          <w:rFonts w:ascii="Times New Roman" w:eastAsia="仿宋_GB2312" w:hAnsi="Times New Roman"/>
          <w:color w:val="000000"/>
          <w:kern w:val="0"/>
          <w:sz w:val="32"/>
          <w:szCs w:val="32"/>
        </w:rPr>
        <w:t>/</w:t>
      </w:r>
      <w:r>
        <w:rPr>
          <w:rFonts w:ascii="Times New Roman" w:eastAsia="仿宋_GB2312" w:hAnsi="Times New Roman"/>
          <w:color w:val="000000"/>
          <w:kern w:val="0"/>
          <w:sz w:val="32"/>
          <w:szCs w:val="32"/>
        </w:rPr>
        <w:t>变异系数范围验收标准，确定初始统计细胞</w:t>
      </w:r>
      <w:r>
        <w:rPr>
          <w:rFonts w:ascii="Times New Roman" w:eastAsia="仿宋_GB2312" w:hAnsi="Times New Roman"/>
          <w:color w:val="000000"/>
          <w:kern w:val="0"/>
          <w:sz w:val="32"/>
          <w:szCs w:val="32"/>
        </w:rPr>
        <w:t>区域和数量，并在结果不确定时纳入更多区域或数量进行统计。</w:t>
      </w:r>
    </w:p>
    <w:p w:rsidR="009A28FC" w:rsidRDefault="00401542">
      <w:pPr>
        <w:spacing w:line="520" w:lineRule="exact"/>
        <w:ind w:firstLineChars="200" w:firstLine="640"/>
        <w:jc w:val="left"/>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然后建议参照组织病理学特征或者</w:t>
      </w:r>
      <w:r>
        <w:rPr>
          <w:rFonts w:ascii="Times New Roman" w:eastAsia="仿宋_GB2312" w:hAnsi="Times New Roman"/>
          <w:color w:val="000000"/>
          <w:kern w:val="0"/>
          <w:sz w:val="32"/>
          <w:szCs w:val="32"/>
        </w:rPr>
        <w:t>IHC</w:t>
      </w:r>
      <w:r>
        <w:rPr>
          <w:rFonts w:ascii="Times New Roman" w:eastAsia="仿宋_GB2312" w:hAnsi="Times New Roman"/>
          <w:color w:val="000000"/>
          <w:kern w:val="0"/>
          <w:sz w:val="32"/>
          <w:szCs w:val="32"/>
        </w:rPr>
        <w:t>结果确定可能存在扩增的浸润性乳腺癌</w:t>
      </w:r>
      <w:r>
        <w:rPr>
          <w:rFonts w:ascii="Times New Roman" w:eastAsia="仿宋_GB2312" w:hAnsi="Times New Roman"/>
          <w:color w:val="000000"/>
          <w:kern w:val="0"/>
          <w:sz w:val="32"/>
          <w:szCs w:val="32"/>
        </w:rPr>
        <w:t>/</w:t>
      </w:r>
      <w:r>
        <w:rPr>
          <w:rFonts w:ascii="Times New Roman" w:eastAsia="仿宋_GB2312" w:hAnsi="Times New Roman"/>
          <w:color w:val="000000"/>
          <w:kern w:val="0"/>
          <w:sz w:val="32"/>
          <w:szCs w:val="32"/>
        </w:rPr>
        <w:t>胃癌</w:t>
      </w:r>
      <w:r>
        <w:rPr>
          <w:rFonts w:ascii="Times New Roman" w:eastAsia="仿宋_GB2312" w:hAnsi="Times New Roman" w:hint="eastAsia"/>
          <w:color w:val="000000"/>
          <w:kern w:val="0"/>
          <w:sz w:val="32"/>
          <w:szCs w:val="32"/>
        </w:rPr>
        <w:t>等</w:t>
      </w:r>
      <w:r>
        <w:rPr>
          <w:rFonts w:ascii="Times New Roman" w:eastAsia="仿宋_GB2312" w:hAnsi="Times New Roman"/>
          <w:color w:val="000000"/>
          <w:kern w:val="0"/>
          <w:sz w:val="32"/>
          <w:szCs w:val="32"/>
        </w:rPr>
        <w:t>区域，选择细胞核大小一致、胞核边界完整、</w:t>
      </w:r>
      <w:r>
        <w:rPr>
          <w:rFonts w:ascii="Times New Roman" w:eastAsia="仿宋_GB2312" w:hAnsi="Times New Roman"/>
          <w:color w:val="000000"/>
          <w:kern w:val="0"/>
          <w:sz w:val="32"/>
          <w:szCs w:val="32"/>
        </w:rPr>
        <w:t>DAPI</w:t>
      </w:r>
      <w:r>
        <w:rPr>
          <w:rFonts w:ascii="Times New Roman" w:eastAsia="仿宋_GB2312" w:hAnsi="Times New Roman"/>
          <w:color w:val="000000"/>
          <w:kern w:val="0"/>
          <w:sz w:val="32"/>
          <w:szCs w:val="32"/>
        </w:rPr>
        <w:t>染色均一、细胞核无重叠、荧光信号清晰的细胞，随机计数</w:t>
      </w:r>
      <w:r>
        <w:rPr>
          <w:rFonts w:ascii="Times New Roman" w:eastAsia="仿宋_GB2312" w:hAnsi="Times New Roman"/>
          <w:color w:val="000000"/>
          <w:kern w:val="0"/>
          <w:sz w:val="32"/>
          <w:szCs w:val="32"/>
        </w:rPr>
        <w:t>2</w:t>
      </w:r>
      <w:r>
        <w:rPr>
          <w:rFonts w:ascii="Times New Roman" w:eastAsia="仿宋_GB2312" w:hAnsi="Times New Roman"/>
          <w:color w:val="000000"/>
          <w:kern w:val="0"/>
          <w:sz w:val="32"/>
          <w:szCs w:val="32"/>
        </w:rPr>
        <w:t>个区域中的至少</w:t>
      </w:r>
      <w:r>
        <w:rPr>
          <w:rFonts w:ascii="Times New Roman" w:eastAsia="仿宋_GB2312" w:hAnsi="Times New Roman"/>
          <w:color w:val="000000"/>
          <w:kern w:val="0"/>
          <w:sz w:val="32"/>
          <w:szCs w:val="32"/>
        </w:rPr>
        <w:t>20</w:t>
      </w:r>
      <w:r>
        <w:rPr>
          <w:rFonts w:ascii="Times New Roman" w:eastAsia="仿宋_GB2312" w:hAnsi="Times New Roman"/>
          <w:color w:val="000000"/>
          <w:kern w:val="0"/>
          <w:sz w:val="32"/>
          <w:szCs w:val="32"/>
        </w:rPr>
        <w:t>个细胞，并对结果进行统计分析。</w:t>
      </w:r>
    </w:p>
    <w:p w:rsidR="009A28FC" w:rsidRDefault="00401542">
      <w:pPr>
        <w:spacing w:line="520" w:lineRule="exact"/>
        <w:ind w:firstLineChars="200" w:firstLine="640"/>
        <w:jc w:val="left"/>
        <w:rPr>
          <w:rFonts w:ascii="Times New Roman" w:eastAsia="仿宋_GB2312" w:hAnsi="Times New Roman"/>
          <w:color w:val="000000"/>
          <w:kern w:val="0"/>
          <w:sz w:val="32"/>
          <w:szCs w:val="32"/>
        </w:rPr>
      </w:pPr>
      <w:r>
        <w:rPr>
          <w:rFonts w:ascii="Times New Roman" w:eastAsia="仿宋_GB2312" w:hAnsi="Times New Roman" w:hint="eastAsia"/>
          <w:color w:val="000000"/>
          <w:kern w:val="0"/>
          <w:sz w:val="32"/>
          <w:szCs w:val="32"/>
        </w:rPr>
        <w:lastRenderedPageBreak/>
        <w:t>对于适用不同癌种的产品应针对所适用的所有癌种分别进行阳性判断值研究。</w:t>
      </w:r>
    </w:p>
    <w:p w:rsidR="009A28FC" w:rsidRDefault="00401542">
      <w:pPr>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5. </w:t>
      </w:r>
      <w:r>
        <w:rPr>
          <w:rFonts w:ascii="Times New Roman" w:eastAsia="仿宋_GB2312" w:hAnsi="Times New Roman"/>
          <w:color w:val="000000"/>
          <w:sz w:val="32"/>
          <w:szCs w:val="32"/>
        </w:rPr>
        <w:t>其他资料</w:t>
      </w:r>
    </w:p>
    <w:p w:rsidR="009A28FC" w:rsidRDefault="00401542">
      <w:pPr>
        <w:spacing w:line="520" w:lineRule="exact"/>
        <w:ind w:firstLineChars="200" w:firstLine="640"/>
        <w:rPr>
          <w:rFonts w:ascii="Times New Roman" w:eastAsia="仿宋_GB2312" w:hAnsi="Times New Roman"/>
          <w:sz w:val="32"/>
          <w:szCs w:val="32"/>
        </w:rPr>
      </w:pPr>
      <w:r>
        <w:rPr>
          <w:rFonts w:ascii="Times New Roman" w:eastAsia="仿宋_GB2312" w:hAnsi="Times New Roman"/>
          <w:color w:val="000000"/>
          <w:sz w:val="32"/>
          <w:szCs w:val="32"/>
        </w:rPr>
        <w:t>5.1</w:t>
      </w:r>
      <w:r>
        <w:rPr>
          <w:rFonts w:ascii="Times New Roman" w:eastAsia="仿宋_GB2312" w:hAnsi="Times New Roman" w:hint="eastAsia"/>
          <w:sz w:val="32"/>
          <w:szCs w:val="32"/>
        </w:rPr>
        <w:t>主要原材料研究资料</w:t>
      </w:r>
    </w:p>
    <w:p w:rsidR="009A28FC" w:rsidRDefault="00401542">
      <w:pPr>
        <w:spacing w:line="520" w:lineRule="exact"/>
        <w:ind w:firstLineChars="200" w:firstLine="640"/>
        <w:rPr>
          <w:rFonts w:ascii="Times New Roman" w:eastAsia="仿宋_GB2312" w:hAnsi="Times New Roman"/>
          <w:sz w:val="32"/>
          <w:szCs w:val="32"/>
        </w:rPr>
      </w:pPr>
      <w:r>
        <w:rPr>
          <w:rFonts w:ascii="Times New Roman" w:eastAsia="仿宋_GB2312" w:hAnsi="Times New Roman" w:cs="宋体" w:hint="eastAsia"/>
          <w:color w:val="000000"/>
          <w:sz w:val="32"/>
          <w:szCs w:val="32"/>
        </w:rPr>
        <w:t>该</w:t>
      </w:r>
      <w:r>
        <w:rPr>
          <w:rFonts w:ascii="Times New Roman" w:eastAsia="仿宋_GB2312" w:hAnsi="Times New Roman"/>
          <w:sz w:val="32"/>
          <w:szCs w:val="32"/>
        </w:rPr>
        <w:t>类产品的主要原材料包括</w:t>
      </w:r>
      <w:r>
        <w:rPr>
          <w:rFonts w:ascii="Times New Roman" w:eastAsia="仿宋_GB2312" w:hAnsi="Times New Roman" w:hint="eastAsia"/>
          <w:sz w:val="32"/>
          <w:szCs w:val="32"/>
        </w:rPr>
        <w:t>探针、人</w:t>
      </w:r>
      <w:r>
        <w:rPr>
          <w:rFonts w:ascii="Times New Roman" w:eastAsia="仿宋_GB2312" w:hAnsi="Times New Roman" w:hint="eastAsia"/>
          <w:sz w:val="32"/>
          <w:szCs w:val="32"/>
        </w:rPr>
        <w:t>Cot-1 DNA</w:t>
      </w:r>
      <w:r>
        <w:rPr>
          <w:rFonts w:ascii="Times New Roman" w:eastAsia="仿宋_GB2312" w:hAnsi="Times New Roman" w:hint="eastAsia"/>
          <w:sz w:val="32"/>
          <w:szCs w:val="32"/>
        </w:rPr>
        <w:t>（如适用）</w:t>
      </w:r>
      <w:r>
        <w:rPr>
          <w:rFonts w:ascii="Times New Roman" w:eastAsia="仿宋_GB2312" w:hAnsi="Times New Roman" w:hint="eastAsia"/>
          <w:sz w:val="32"/>
          <w:szCs w:val="32"/>
        </w:rPr>
        <w:t>、质控片（如适用）和企业参考品等</w:t>
      </w:r>
      <w:r>
        <w:rPr>
          <w:rFonts w:ascii="Times New Roman" w:eastAsia="仿宋_GB2312" w:hAnsi="Times New Roman"/>
          <w:sz w:val="32"/>
          <w:szCs w:val="32"/>
        </w:rPr>
        <w:t>。应提供主要原材料的</w:t>
      </w:r>
      <w:r>
        <w:rPr>
          <w:rFonts w:ascii="Times New Roman" w:eastAsia="仿宋_GB2312" w:hAnsi="Times New Roman"/>
          <w:sz w:val="32"/>
          <w:szCs w:val="32"/>
        </w:rPr>
        <w:t>选择与来源、制备过程、质量控制标准等相关研究资料。如主要原材料为企业自制，应提供其详细制备过程；如主要原材料源于外购，应提供资料包括：选择该原材料的依据及对比筛选试验资料、</w:t>
      </w:r>
      <w:r>
        <w:rPr>
          <w:rFonts w:ascii="Times New Roman" w:eastAsia="仿宋_GB2312" w:hAnsi="Times New Roman" w:hint="eastAsia"/>
          <w:sz w:val="32"/>
          <w:szCs w:val="32"/>
        </w:rPr>
        <w:t>生产商</w:t>
      </w:r>
      <w:r>
        <w:rPr>
          <w:rFonts w:ascii="Times New Roman" w:eastAsia="仿宋_GB2312" w:hAnsi="Times New Roman"/>
          <w:sz w:val="32"/>
          <w:szCs w:val="32"/>
        </w:rPr>
        <w:t>提供的质量标准、出厂检验报告，以及该原材料到货后的质量检验资料。</w:t>
      </w:r>
    </w:p>
    <w:p w:rsidR="009A28FC" w:rsidRDefault="00401542">
      <w:pPr>
        <w:spacing w:line="520" w:lineRule="exact"/>
        <w:ind w:firstLineChars="200" w:firstLine="640"/>
        <w:rPr>
          <w:rFonts w:ascii="Times New Roman" w:eastAsia="仿宋_GB2312" w:hAnsi="Times New Roman"/>
          <w:b/>
          <w:color w:val="000000"/>
          <w:kern w:val="0"/>
          <w:sz w:val="32"/>
          <w:szCs w:val="32"/>
        </w:rPr>
      </w:pPr>
      <w:r>
        <w:rPr>
          <w:rFonts w:ascii="Times New Roman" w:eastAsia="仿宋_GB2312" w:hAnsi="Times New Roman"/>
          <w:sz w:val="32"/>
          <w:szCs w:val="32"/>
        </w:rPr>
        <w:t>5.1.1</w:t>
      </w:r>
      <w:r>
        <w:rPr>
          <w:rFonts w:ascii="Times New Roman" w:eastAsia="仿宋_GB2312" w:hAnsi="Times New Roman"/>
          <w:color w:val="000000"/>
          <w:kern w:val="0"/>
          <w:sz w:val="32"/>
          <w:szCs w:val="32"/>
        </w:rPr>
        <w:t>探针：根据不同用途，分为基因特异性探针（</w:t>
      </w:r>
      <w:r>
        <w:rPr>
          <w:rFonts w:ascii="Times New Roman" w:eastAsia="仿宋_GB2312" w:hAnsi="Times New Roman"/>
          <w:color w:val="000000"/>
          <w:kern w:val="0"/>
          <w:sz w:val="32"/>
          <w:szCs w:val="32"/>
        </w:rPr>
        <w:t>HER2</w:t>
      </w:r>
      <w:r>
        <w:rPr>
          <w:rFonts w:ascii="Times New Roman" w:eastAsia="仿宋_GB2312" w:hAnsi="Times New Roman"/>
          <w:color w:val="000000"/>
          <w:kern w:val="0"/>
          <w:sz w:val="32"/>
          <w:szCs w:val="32"/>
        </w:rPr>
        <w:t>）和着丝粒探针（</w:t>
      </w:r>
      <w:r>
        <w:rPr>
          <w:rFonts w:ascii="Times New Roman" w:eastAsia="仿宋_GB2312" w:hAnsi="Times New Roman"/>
          <w:color w:val="000000"/>
          <w:kern w:val="0"/>
          <w:sz w:val="32"/>
          <w:szCs w:val="32"/>
        </w:rPr>
        <w:t>CEP17</w:t>
      </w:r>
      <w:r>
        <w:rPr>
          <w:rFonts w:ascii="Times New Roman" w:eastAsia="仿宋_GB2312" w:hAnsi="Times New Roman"/>
          <w:color w:val="000000"/>
          <w:kern w:val="0"/>
          <w:sz w:val="32"/>
          <w:szCs w:val="32"/>
        </w:rPr>
        <w:t>）两种类型。探针可选择细菌人工染色体（</w:t>
      </w:r>
      <w:r>
        <w:rPr>
          <w:rFonts w:ascii="Times New Roman" w:eastAsia="仿宋_GB2312" w:hAnsi="Times New Roman"/>
          <w:color w:val="000000"/>
          <w:kern w:val="0"/>
          <w:sz w:val="32"/>
          <w:szCs w:val="32"/>
        </w:rPr>
        <w:t>BAC</w:t>
      </w:r>
      <w:r>
        <w:rPr>
          <w:rFonts w:ascii="Times New Roman" w:eastAsia="仿宋_GB2312" w:hAnsi="Times New Roman"/>
          <w:color w:val="000000"/>
          <w:kern w:val="0"/>
          <w:sz w:val="32"/>
          <w:szCs w:val="32"/>
        </w:rPr>
        <w:t>）克隆或者聚合酶链反应（</w:t>
      </w:r>
      <w:r>
        <w:rPr>
          <w:rFonts w:ascii="Times New Roman" w:eastAsia="仿宋_GB2312" w:hAnsi="Times New Roman"/>
          <w:color w:val="000000"/>
          <w:kern w:val="0"/>
          <w:sz w:val="32"/>
          <w:szCs w:val="32"/>
        </w:rPr>
        <w:t xml:space="preserve">Polymerase Chain </w:t>
      </w:r>
      <w:r>
        <w:rPr>
          <w:rFonts w:ascii="Times New Roman" w:eastAsia="仿宋_GB2312" w:hAnsi="Times New Roman"/>
          <w:color w:val="000000"/>
          <w:kern w:val="0"/>
          <w:sz w:val="32"/>
          <w:szCs w:val="32"/>
        </w:rPr>
        <w:t>Reaction</w:t>
      </w:r>
      <w:r>
        <w:rPr>
          <w:rFonts w:ascii="Times New Roman" w:eastAsia="仿宋_GB2312" w:hAnsi="Times New Roman"/>
          <w:color w:val="000000"/>
          <w:kern w:val="0"/>
          <w:sz w:val="32"/>
          <w:szCs w:val="32"/>
        </w:rPr>
        <w:t>，</w:t>
      </w:r>
      <w:r>
        <w:rPr>
          <w:rFonts w:ascii="Times New Roman" w:eastAsia="仿宋_GB2312" w:hAnsi="Times New Roman"/>
          <w:color w:val="000000"/>
          <w:kern w:val="0"/>
          <w:sz w:val="32"/>
          <w:szCs w:val="32"/>
        </w:rPr>
        <w:t>PCR</w:t>
      </w:r>
      <w:r>
        <w:rPr>
          <w:rFonts w:ascii="Times New Roman" w:eastAsia="仿宋_GB2312" w:hAnsi="Times New Roman"/>
          <w:color w:val="000000"/>
          <w:kern w:val="0"/>
          <w:sz w:val="32"/>
          <w:szCs w:val="32"/>
        </w:rPr>
        <w:t>）等方法进行制备。下述内容是对于探针制备通用要求的举例，如有其他替代方法，应详细阐述其科学合理性。</w:t>
      </w:r>
    </w:p>
    <w:p w:rsidR="009A28FC" w:rsidRDefault="00401542">
      <w:pPr>
        <w:spacing w:line="520" w:lineRule="exact"/>
        <w:ind w:firstLine="640"/>
        <w:rPr>
          <w:rFonts w:ascii="Times New Roman" w:eastAsia="仿宋_GB2312" w:hAnsi="Times New Roman"/>
          <w:color w:val="000000"/>
          <w:kern w:val="0"/>
          <w:sz w:val="32"/>
          <w:szCs w:val="32"/>
        </w:rPr>
      </w:pPr>
      <w:r>
        <w:rPr>
          <w:rFonts w:ascii="Times New Roman" w:eastAsia="仿宋_GB2312" w:hAnsi="Times New Roman" w:hint="eastAsia"/>
          <w:color w:val="000000"/>
          <w:kern w:val="0"/>
          <w:sz w:val="32"/>
          <w:szCs w:val="32"/>
        </w:rPr>
        <w:t>5.1.</w:t>
      </w:r>
      <w:r>
        <w:rPr>
          <w:rFonts w:ascii="Times New Roman" w:eastAsia="仿宋_GB2312" w:hAnsi="Times New Roman"/>
          <w:color w:val="000000"/>
          <w:kern w:val="0"/>
          <w:sz w:val="32"/>
          <w:szCs w:val="32"/>
        </w:rPr>
        <w:t>1.1</w:t>
      </w:r>
      <w:r>
        <w:rPr>
          <w:rFonts w:ascii="Times New Roman" w:eastAsia="仿宋_GB2312" w:hAnsi="Times New Roman"/>
          <w:color w:val="000000"/>
          <w:kern w:val="0"/>
          <w:sz w:val="32"/>
          <w:szCs w:val="32"/>
        </w:rPr>
        <w:t>基因特异性探针</w:t>
      </w:r>
    </w:p>
    <w:p w:rsidR="009A28FC" w:rsidRDefault="00401542">
      <w:pPr>
        <w:spacing w:line="520" w:lineRule="exact"/>
        <w:ind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探针序列的确定：包括探针所在基因的位置区域，人类基因组文库的筛选、比对和特征确认过程。</w:t>
      </w:r>
    </w:p>
    <w:p w:rsidR="009A28FC" w:rsidRDefault="00401542">
      <w:pPr>
        <w:spacing w:line="52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人类基因组文库克隆的鉴定：一般检测与基因区域相关的序列标记位点（</w:t>
      </w:r>
      <w:r>
        <w:rPr>
          <w:rFonts w:ascii="Times New Roman" w:eastAsia="仿宋_GB2312" w:hAnsi="Times New Roman"/>
          <w:color w:val="000000"/>
          <w:kern w:val="0"/>
          <w:sz w:val="32"/>
          <w:szCs w:val="32"/>
        </w:rPr>
        <w:t>STS</w:t>
      </w:r>
      <w:r>
        <w:rPr>
          <w:rFonts w:ascii="Times New Roman" w:eastAsia="仿宋_GB2312" w:hAnsi="Times New Roman"/>
          <w:color w:val="000000"/>
          <w:kern w:val="0"/>
          <w:sz w:val="32"/>
          <w:szCs w:val="32"/>
        </w:rPr>
        <w:t>）的存在情况，包括引物的设计，</w:t>
      </w:r>
      <w:r>
        <w:rPr>
          <w:rFonts w:ascii="Times New Roman" w:eastAsia="仿宋_GB2312" w:hAnsi="Times New Roman"/>
          <w:color w:val="000000"/>
          <w:kern w:val="0"/>
          <w:sz w:val="32"/>
          <w:szCs w:val="32"/>
        </w:rPr>
        <w:t>PCR</w:t>
      </w:r>
      <w:r>
        <w:rPr>
          <w:rFonts w:ascii="Times New Roman" w:eastAsia="仿宋_GB2312" w:hAnsi="Times New Roman"/>
          <w:color w:val="000000"/>
          <w:kern w:val="0"/>
          <w:sz w:val="32"/>
          <w:szCs w:val="32"/>
        </w:rPr>
        <w:t>过程和产物的电泳图谱。</w:t>
      </w:r>
    </w:p>
    <w:p w:rsidR="009A28FC" w:rsidRDefault="00401542">
      <w:pPr>
        <w:spacing w:line="52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探针的标记：一般为酶促反应或者化学合成方法，应详述标记方式的选择、反应体系和过程、产物的纯化方式等。</w:t>
      </w:r>
    </w:p>
    <w:p w:rsidR="009A28FC" w:rsidRDefault="00401542">
      <w:pPr>
        <w:spacing w:line="52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hint="eastAsia"/>
          <w:color w:val="000000"/>
          <w:kern w:val="0"/>
          <w:sz w:val="32"/>
          <w:szCs w:val="32"/>
        </w:rPr>
        <w:lastRenderedPageBreak/>
        <w:t>5.1.</w:t>
      </w:r>
      <w:r>
        <w:rPr>
          <w:rFonts w:ascii="Times New Roman" w:eastAsia="仿宋_GB2312" w:hAnsi="Times New Roman"/>
          <w:color w:val="000000"/>
          <w:kern w:val="0"/>
          <w:sz w:val="32"/>
          <w:szCs w:val="32"/>
        </w:rPr>
        <w:t>1.2</w:t>
      </w:r>
      <w:r>
        <w:rPr>
          <w:rFonts w:ascii="Times New Roman" w:eastAsia="仿宋_GB2312" w:hAnsi="Times New Roman"/>
          <w:color w:val="000000"/>
          <w:kern w:val="0"/>
          <w:sz w:val="32"/>
          <w:szCs w:val="32"/>
        </w:rPr>
        <w:t>着丝粒探针：包括微卫星重</w:t>
      </w:r>
      <w:r>
        <w:rPr>
          <w:rFonts w:ascii="Times New Roman" w:eastAsia="仿宋_GB2312" w:hAnsi="Times New Roman"/>
          <w:color w:val="000000"/>
          <w:kern w:val="0"/>
          <w:sz w:val="32"/>
          <w:szCs w:val="32"/>
        </w:rPr>
        <w:t>复单元的序列，</w:t>
      </w:r>
      <w:r>
        <w:rPr>
          <w:rFonts w:ascii="Times New Roman" w:eastAsia="仿宋_GB2312" w:hAnsi="Times New Roman"/>
          <w:color w:val="000000"/>
          <w:kern w:val="0"/>
          <w:sz w:val="32"/>
          <w:szCs w:val="32"/>
        </w:rPr>
        <w:t>PCR</w:t>
      </w:r>
      <w:r>
        <w:rPr>
          <w:rFonts w:ascii="Times New Roman" w:eastAsia="仿宋_GB2312" w:hAnsi="Times New Roman"/>
          <w:color w:val="000000"/>
          <w:kern w:val="0"/>
          <w:sz w:val="32"/>
          <w:szCs w:val="32"/>
        </w:rPr>
        <w:t>引物的设计和选择，荧光染料标记的反应体系、过程和产物的纯化方式等。</w:t>
      </w:r>
    </w:p>
    <w:p w:rsidR="009A28FC" w:rsidRDefault="00401542">
      <w:pPr>
        <w:spacing w:line="520" w:lineRule="exact"/>
        <w:ind w:firstLineChars="200" w:firstLine="640"/>
        <w:rPr>
          <w:rFonts w:eastAsia="仿宋_GB2312"/>
          <w:sz w:val="32"/>
          <w:szCs w:val="32"/>
        </w:rPr>
      </w:pPr>
      <w:r>
        <w:rPr>
          <w:rFonts w:ascii="Times New Roman" w:eastAsia="仿宋_GB2312" w:hAnsi="Times New Roman"/>
          <w:color w:val="000000"/>
          <w:kern w:val="0"/>
          <w:sz w:val="32"/>
          <w:szCs w:val="32"/>
        </w:rPr>
        <w:t>探针的质量控制：性能指标一般包括浓度、纯度、</w:t>
      </w:r>
      <w:r>
        <w:rPr>
          <w:rFonts w:ascii="Times New Roman" w:eastAsia="仿宋_GB2312" w:hAnsi="Times New Roman"/>
          <w:color w:val="000000"/>
          <w:kern w:val="0"/>
          <w:sz w:val="32"/>
          <w:szCs w:val="32"/>
        </w:rPr>
        <w:t>Tm</w:t>
      </w:r>
      <w:r>
        <w:rPr>
          <w:rFonts w:ascii="Times New Roman" w:eastAsia="仿宋_GB2312" w:hAnsi="Times New Roman"/>
          <w:color w:val="000000"/>
          <w:kern w:val="0"/>
          <w:sz w:val="32"/>
          <w:szCs w:val="32"/>
        </w:rPr>
        <w:t>值（如适用）、杂交效率、特异性等，可使用测定</w:t>
      </w:r>
      <w:r>
        <w:rPr>
          <w:rFonts w:ascii="Times New Roman" w:eastAsia="仿宋_GB2312" w:hAnsi="Times New Roman"/>
          <w:color w:val="000000"/>
          <w:kern w:val="0"/>
          <w:sz w:val="32"/>
          <w:szCs w:val="32"/>
        </w:rPr>
        <w:t>260nm</w:t>
      </w:r>
      <w:proofErr w:type="gramStart"/>
      <w:r>
        <w:rPr>
          <w:rFonts w:ascii="Times New Roman" w:eastAsia="仿宋_GB2312" w:hAnsi="Times New Roman"/>
          <w:color w:val="000000"/>
          <w:kern w:val="0"/>
          <w:sz w:val="32"/>
          <w:szCs w:val="32"/>
        </w:rPr>
        <w:t>处紫外</w:t>
      </w:r>
      <w:proofErr w:type="gramEnd"/>
      <w:r>
        <w:rPr>
          <w:rFonts w:ascii="Times New Roman" w:eastAsia="仿宋_GB2312" w:hAnsi="Times New Roman"/>
          <w:color w:val="000000"/>
          <w:kern w:val="0"/>
          <w:sz w:val="32"/>
          <w:szCs w:val="32"/>
        </w:rPr>
        <w:t>吸收峰值、测定</w:t>
      </w:r>
      <w:r>
        <w:rPr>
          <w:rFonts w:ascii="Times New Roman" w:eastAsia="仿宋_GB2312" w:hAnsi="Times New Roman"/>
          <w:color w:val="000000"/>
          <w:kern w:val="0"/>
          <w:sz w:val="32"/>
          <w:szCs w:val="32"/>
        </w:rPr>
        <w:t>260nm</w:t>
      </w:r>
      <w:r>
        <w:rPr>
          <w:rFonts w:ascii="Times New Roman" w:eastAsia="仿宋_GB2312" w:hAnsi="Times New Roman"/>
          <w:color w:val="000000"/>
          <w:kern w:val="0"/>
          <w:sz w:val="32"/>
          <w:szCs w:val="32"/>
        </w:rPr>
        <w:t>与</w:t>
      </w:r>
      <w:r>
        <w:rPr>
          <w:rFonts w:ascii="Times New Roman" w:eastAsia="仿宋_GB2312" w:hAnsi="Times New Roman"/>
          <w:color w:val="000000"/>
          <w:kern w:val="0"/>
          <w:sz w:val="32"/>
          <w:szCs w:val="32"/>
        </w:rPr>
        <w:t>280nm</w:t>
      </w:r>
      <w:proofErr w:type="gramStart"/>
      <w:r>
        <w:rPr>
          <w:rFonts w:ascii="Times New Roman" w:eastAsia="仿宋_GB2312" w:hAnsi="Times New Roman"/>
          <w:color w:val="000000"/>
          <w:kern w:val="0"/>
          <w:sz w:val="32"/>
          <w:szCs w:val="32"/>
        </w:rPr>
        <w:t>处紫外</w:t>
      </w:r>
      <w:proofErr w:type="gramEnd"/>
      <w:r>
        <w:rPr>
          <w:rFonts w:ascii="Times New Roman" w:eastAsia="仿宋_GB2312" w:hAnsi="Times New Roman"/>
          <w:color w:val="000000"/>
          <w:kern w:val="0"/>
          <w:sz w:val="32"/>
          <w:szCs w:val="32"/>
        </w:rPr>
        <w:t>吸收峰值的比值、琼脂糖凝胶电泳、染色体分散良好的中期相分裂细胞杂交验证等方式。</w:t>
      </w:r>
    </w:p>
    <w:p w:rsidR="009A28FC" w:rsidRDefault="00401542">
      <w:pPr>
        <w:spacing w:line="520" w:lineRule="exact"/>
        <w:ind w:firstLineChars="200" w:firstLine="640"/>
        <w:rPr>
          <w:rFonts w:eastAsia="仿宋_GB2312"/>
          <w:sz w:val="32"/>
          <w:szCs w:val="32"/>
        </w:rPr>
      </w:pPr>
      <w:r>
        <w:rPr>
          <w:rFonts w:ascii="Times New Roman" w:eastAsia="仿宋_GB2312" w:hAnsi="Times New Roman" w:hint="eastAsia"/>
          <w:sz w:val="32"/>
          <w:szCs w:val="32"/>
        </w:rPr>
        <w:t>5.1.</w:t>
      </w:r>
      <w:r>
        <w:rPr>
          <w:rFonts w:ascii="Times New Roman" w:eastAsia="仿宋_GB2312" w:hAnsi="Times New Roman"/>
          <w:sz w:val="32"/>
          <w:szCs w:val="32"/>
        </w:rPr>
        <w:t>2</w:t>
      </w:r>
      <w:r>
        <w:rPr>
          <w:rFonts w:ascii="Times New Roman" w:eastAsia="仿宋_GB2312" w:hAnsi="Times New Roman"/>
          <w:color w:val="000000"/>
          <w:kern w:val="0"/>
          <w:sz w:val="32"/>
          <w:szCs w:val="32"/>
        </w:rPr>
        <w:t>人</w:t>
      </w:r>
      <w:r>
        <w:rPr>
          <w:rFonts w:ascii="Times New Roman" w:eastAsia="仿宋_GB2312" w:hAnsi="Times New Roman"/>
          <w:color w:val="000000"/>
          <w:kern w:val="0"/>
          <w:sz w:val="32"/>
          <w:szCs w:val="32"/>
        </w:rPr>
        <w:t xml:space="preserve">Cot-1 </w:t>
      </w:r>
      <w:r>
        <w:rPr>
          <w:rFonts w:ascii="Times New Roman" w:eastAsia="仿宋_GB2312" w:hAnsi="Times New Roman"/>
          <w:color w:val="000000"/>
          <w:kern w:val="0"/>
          <w:sz w:val="32"/>
          <w:szCs w:val="32"/>
        </w:rPr>
        <w:t>DNA</w:t>
      </w:r>
      <w:r>
        <w:rPr>
          <w:rFonts w:ascii="Times New Roman" w:eastAsia="仿宋_GB2312" w:hAnsi="Times New Roman"/>
          <w:color w:val="000000"/>
          <w:kern w:val="0"/>
          <w:sz w:val="32"/>
          <w:szCs w:val="32"/>
        </w:rPr>
        <w:t>（如适用）：是由大量人类基因组重复序列组成的高浓度</w:t>
      </w:r>
      <w:r>
        <w:rPr>
          <w:rFonts w:ascii="Times New Roman" w:eastAsia="仿宋_GB2312" w:hAnsi="Times New Roman"/>
          <w:color w:val="000000"/>
          <w:kern w:val="0"/>
          <w:sz w:val="32"/>
          <w:szCs w:val="32"/>
        </w:rPr>
        <w:t>DNA</w:t>
      </w:r>
      <w:r>
        <w:rPr>
          <w:rFonts w:ascii="Times New Roman" w:eastAsia="仿宋_GB2312" w:hAnsi="Times New Roman"/>
          <w:color w:val="000000"/>
          <w:kern w:val="0"/>
          <w:sz w:val="32"/>
          <w:szCs w:val="32"/>
        </w:rPr>
        <w:t>，能封闭样品中的</w:t>
      </w:r>
      <w:r>
        <w:rPr>
          <w:rFonts w:ascii="Times New Roman" w:eastAsia="仿宋_GB2312" w:hAnsi="Times New Roman"/>
          <w:color w:val="000000"/>
          <w:kern w:val="0"/>
          <w:sz w:val="32"/>
          <w:szCs w:val="32"/>
        </w:rPr>
        <w:t>DNA</w:t>
      </w:r>
      <w:r>
        <w:rPr>
          <w:rFonts w:ascii="Times New Roman" w:eastAsia="仿宋_GB2312" w:hAnsi="Times New Roman"/>
          <w:color w:val="000000"/>
          <w:kern w:val="0"/>
          <w:sz w:val="32"/>
          <w:szCs w:val="32"/>
        </w:rPr>
        <w:t>重复序列，降低检测背景。要求能有效封闭背景信号，避免由于非特异性杂交而影响检测结果的判读。</w:t>
      </w:r>
      <w:proofErr w:type="gramStart"/>
      <w:r>
        <w:rPr>
          <w:rFonts w:ascii="Times New Roman" w:eastAsia="仿宋_GB2312" w:hAnsi="Times New Roman"/>
          <w:color w:val="000000"/>
          <w:kern w:val="0"/>
          <w:sz w:val="32"/>
          <w:szCs w:val="32"/>
        </w:rPr>
        <w:t>应评价</w:t>
      </w:r>
      <w:proofErr w:type="gramEnd"/>
      <w:r>
        <w:rPr>
          <w:rFonts w:ascii="Times New Roman" w:eastAsia="仿宋_GB2312" w:hAnsi="Times New Roman"/>
          <w:color w:val="000000"/>
          <w:kern w:val="0"/>
          <w:sz w:val="32"/>
          <w:szCs w:val="32"/>
        </w:rPr>
        <w:t>人</w:t>
      </w:r>
      <w:r>
        <w:rPr>
          <w:rFonts w:ascii="Times New Roman" w:eastAsia="仿宋_GB2312" w:hAnsi="Times New Roman"/>
          <w:color w:val="000000"/>
          <w:kern w:val="0"/>
          <w:sz w:val="32"/>
          <w:szCs w:val="32"/>
        </w:rPr>
        <w:t>Cot-1 DNA</w:t>
      </w:r>
      <w:r>
        <w:rPr>
          <w:rFonts w:ascii="Times New Roman" w:eastAsia="仿宋_GB2312" w:hAnsi="Times New Roman"/>
          <w:color w:val="000000"/>
          <w:kern w:val="0"/>
          <w:sz w:val="32"/>
          <w:szCs w:val="32"/>
        </w:rPr>
        <w:t>对样本检测背景信号的封闭效果，方法可选择通过观察背景强度以及非特异杂交的强度而确定人</w:t>
      </w:r>
      <w:r>
        <w:rPr>
          <w:rFonts w:ascii="Times New Roman" w:eastAsia="仿宋_GB2312" w:hAnsi="Times New Roman"/>
          <w:color w:val="000000"/>
          <w:kern w:val="0"/>
          <w:sz w:val="32"/>
          <w:szCs w:val="32"/>
        </w:rPr>
        <w:t xml:space="preserve"> Cot-1 DNA</w:t>
      </w:r>
      <w:r>
        <w:rPr>
          <w:rFonts w:ascii="Times New Roman" w:eastAsia="仿宋_GB2312" w:hAnsi="Times New Roman"/>
          <w:color w:val="000000"/>
          <w:kern w:val="0"/>
          <w:sz w:val="32"/>
          <w:szCs w:val="32"/>
        </w:rPr>
        <w:t>的用量。如有其他清除背景信号的方法，应充分说明其科学合理性。</w:t>
      </w:r>
    </w:p>
    <w:p w:rsidR="009A28FC" w:rsidRDefault="00401542">
      <w:pPr>
        <w:spacing w:line="52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5.2</w:t>
      </w:r>
      <w:r>
        <w:rPr>
          <w:rFonts w:ascii="Times New Roman" w:eastAsia="仿宋_GB2312" w:hAnsi="Times New Roman" w:hint="eastAsia"/>
          <w:sz w:val="32"/>
          <w:szCs w:val="32"/>
        </w:rPr>
        <w:t>其他原料</w:t>
      </w:r>
    </w:p>
    <w:p w:rsidR="009A28FC" w:rsidRDefault="00401542">
      <w:pPr>
        <w:spacing w:line="52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除上述原料外，产品中还包含其他原料，如荧光染料、杂交缓冲液、二</w:t>
      </w:r>
      <w:proofErr w:type="gramStart"/>
      <w:r>
        <w:rPr>
          <w:rFonts w:ascii="Times New Roman" w:eastAsia="仿宋_GB2312" w:hAnsi="Times New Roman" w:hint="eastAsia"/>
          <w:sz w:val="32"/>
          <w:szCs w:val="32"/>
        </w:rPr>
        <w:t>脒</w:t>
      </w:r>
      <w:proofErr w:type="gramEnd"/>
      <w:r>
        <w:rPr>
          <w:rFonts w:ascii="Times New Roman" w:eastAsia="仿宋_GB2312" w:hAnsi="Times New Roman" w:hint="eastAsia"/>
          <w:sz w:val="32"/>
          <w:szCs w:val="32"/>
        </w:rPr>
        <w:t>基苯基吲哚（</w:t>
      </w:r>
      <w:r>
        <w:rPr>
          <w:rFonts w:ascii="Times New Roman" w:eastAsia="仿宋_GB2312" w:hAnsi="Times New Roman" w:hint="eastAsia"/>
          <w:sz w:val="32"/>
          <w:szCs w:val="32"/>
        </w:rPr>
        <w:t>DAPI</w:t>
      </w:r>
      <w:r>
        <w:rPr>
          <w:rFonts w:ascii="Times New Roman" w:eastAsia="仿宋_GB2312" w:hAnsi="Times New Roman" w:hint="eastAsia"/>
          <w:sz w:val="32"/>
          <w:szCs w:val="32"/>
        </w:rPr>
        <w:t>）复染剂等，均应进行验证，并提交相关资料，明确</w:t>
      </w:r>
      <w:r>
        <w:rPr>
          <w:rFonts w:ascii="Times New Roman" w:eastAsia="仿宋_GB2312" w:hAnsi="Times New Roman" w:hint="eastAsia"/>
          <w:sz w:val="32"/>
          <w:szCs w:val="32"/>
        </w:rPr>
        <w:t>供应商和质量控制标准。</w:t>
      </w:r>
    </w:p>
    <w:p w:rsidR="009A28FC" w:rsidRDefault="00401542">
      <w:pPr>
        <w:spacing w:line="52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5.</w:t>
      </w:r>
      <w:r>
        <w:rPr>
          <w:rFonts w:ascii="Times New Roman" w:eastAsia="仿宋_GB2312" w:hAnsi="Times New Roman" w:hint="eastAsia"/>
          <w:sz w:val="32"/>
          <w:szCs w:val="32"/>
        </w:rPr>
        <w:t>3</w:t>
      </w:r>
      <w:r>
        <w:rPr>
          <w:rFonts w:ascii="Times New Roman" w:eastAsia="仿宋_GB2312" w:hAnsi="Times New Roman"/>
          <w:sz w:val="32"/>
          <w:szCs w:val="32"/>
        </w:rPr>
        <w:t>质控</w:t>
      </w:r>
      <w:r>
        <w:rPr>
          <w:rFonts w:ascii="Times New Roman" w:eastAsia="仿宋_GB2312" w:hAnsi="Times New Roman" w:hint="eastAsia"/>
          <w:sz w:val="32"/>
          <w:szCs w:val="32"/>
        </w:rPr>
        <w:t>片（如适用）</w:t>
      </w:r>
    </w:p>
    <w:p w:rsidR="009A28FC" w:rsidRDefault="00401542">
      <w:pPr>
        <w:spacing w:line="52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可作为试剂盒的组分或者单独配置，包含阴性质控片、临界值质控片和</w:t>
      </w:r>
      <w:r>
        <w:rPr>
          <w:rFonts w:ascii="Times New Roman" w:eastAsia="仿宋_GB2312" w:hAnsi="Times New Roman"/>
          <w:color w:val="000000"/>
          <w:kern w:val="0"/>
          <w:sz w:val="32"/>
          <w:szCs w:val="32"/>
        </w:rPr>
        <w:t>/</w:t>
      </w:r>
      <w:r>
        <w:rPr>
          <w:rFonts w:ascii="Times New Roman" w:eastAsia="仿宋_GB2312" w:hAnsi="Times New Roman"/>
          <w:color w:val="000000"/>
          <w:kern w:val="0"/>
          <w:sz w:val="32"/>
          <w:szCs w:val="32"/>
        </w:rPr>
        <w:t>或阳性质控片。可选择临床组织样本或者</w:t>
      </w:r>
      <w:r>
        <w:rPr>
          <w:rFonts w:ascii="Times New Roman" w:eastAsia="仿宋_GB2312" w:hAnsi="Times New Roman"/>
          <w:color w:val="000000"/>
          <w:kern w:val="0"/>
          <w:sz w:val="32"/>
          <w:szCs w:val="32"/>
        </w:rPr>
        <w:t>HER2</w:t>
      </w:r>
      <w:r>
        <w:rPr>
          <w:rFonts w:ascii="Times New Roman" w:eastAsia="仿宋_GB2312" w:hAnsi="Times New Roman"/>
          <w:color w:val="000000"/>
          <w:kern w:val="0"/>
          <w:sz w:val="32"/>
          <w:szCs w:val="32"/>
        </w:rPr>
        <w:t>扩增状态确定的细胞株。</w:t>
      </w:r>
    </w:p>
    <w:p w:rsidR="009A28FC" w:rsidRDefault="00401542">
      <w:pPr>
        <w:spacing w:line="520" w:lineRule="exact"/>
        <w:ind w:firstLineChars="200" w:firstLine="640"/>
        <w:rPr>
          <w:rFonts w:eastAsia="仿宋_GB2312"/>
          <w:sz w:val="32"/>
          <w:szCs w:val="32"/>
        </w:rPr>
      </w:pPr>
      <w:r>
        <w:rPr>
          <w:rFonts w:ascii="Times New Roman" w:eastAsia="仿宋_GB2312" w:hAnsi="Times New Roman" w:cs="宋体"/>
          <w:color w:val="000000"/>
          <w:sz w:val="32"/>
          <w:szCs w:val="32"/>
        </w:rPr>
        <w:t>5.</w:t>
      </w:r>
      <w:r>
        <w:rPr>
          <w:rFonts w:ascii="Times New Roman" w:eastAsia="仿宋_GB2312" w:hAnsi="Times New Roman" w:cs="宋体" w:hint="eastAsia"/>
          <w:color w:val="000000"/>
          <w:sz w:val="32"/>
          <w:szCs w:val="32"/>
        </w:rPr>
        <w:t>4</w:t>
      </w:r>
      <w:r>
        <w:rPr>
          <w:rFonts w:ascii="Times New Roman" w:eastAsia="仿宋_GB2312" w:hAnsi="Times New Roman"/>
          <w:sz w:val="32"/>
          <w:szCs w:val="32"/>
        </w:rPr>
        <w:t>企业参考品</w:t>
      </w:r>
      <w:r>
        <w:rPr>
          <w:rFonts w:ascii="Times New Roman" w:eastAsia="仿宋_GB2312" w:hAnsi="Times New Roman" w:cs="宋体" w:hint="eastAsia"/>
          <w:color w:val="000000"/>
          <w:sz w:val="32"/>
          <w:szCs w:val="32"/>
        </w:rPr>
        <w:br/>
      </w:r>
      <w:r>
        <w:rPr>
          <w:rFonts w:ascii="Times New Roman" w:eastAsia="仿宋_GB2312" w:hAnsi="Times New Roman" w:cs="宋体" w:hint="eastAsia"/>
          <w:color w:val="000000"/>
          <w:sz w:val="32"/>
          <w:szCs w:val="32"/>
        </w:rPr>
        <w:t xml:space="preserve">　　</w:t>
      </w:r>
      <w:r>
        <w:rPr>
          <w:rFonts w:ascii="Times New Roman" w:eastAsia="仿宋_GB2312" w:hAnsi="Times New Roman"/>
          <w:color w:val="000000"/>
          <w:spacing w:val="-4"/>
          <w:kern w:val="0"/>
          <w:sz w:val="32"/>
          <w:szCs w:val="32"/>
        </w:rPr>
        <w:t>应包含阴性参考品、阳性参考品和特异性参考品，并详细说</w:t>
      </w:r>
      <w:r>
        <w:rPr>
          <w:rFonts w:ascii="Times New Roman" w:eastAsia="仿宋_GB2312" w:hAnsi="Times New Roman"/>
          <w:color w:val="000000"/>
          <w:spacing w:val="-4"/>
          <w:kern w:val="0"/>
          <w:sz w:val="32"/>
          <w:szCs w:val="32"/>
        </w:rPr>
        <w:lastRenderedPageBreak/>
        <w:t>明参考品的来源、组成、制备和保存情况。</w:t>
      </w:r>
      <w:r>
        <w:rPr>
          <w:rFonts w:ascii="Times New Roman" w:eastAsia="仿宋_GB2312" w:hAnsi="Times New Roman" w:hint="eastAsia"/>
          <w:color w:val="000000"/>
          <w:spacing w:val="-4"/>
          <w:kern w:val="0"/>
          <w:sz w:val="32"/>
          <w:szCs w:val="32"/>
        </w:rPr>
        <w:t>阳性参考品可选择经已上市产品确认</w:t>
      </w:r>
      <w:r>
        <w:rPr>
          <w:rFonts w:ascii="Times New Roman" w:eastAsia="仿宋_GB2312" w:hAnsi="Times New Roman"/>
          <w:color w:val="000000"/>
          <w:spacing w:val="-4"/>
          <w:kern w:val="0"/>
          <w:sz w:val="32"/>
          <w:szCs w:val="32"/>
        </w:rPr>
        <w:t>HER2</w:t>
      </w:r>
      <w:r>
        <w:rPr>
          <w:rFonts w:ascii="Times New Roman" w:eastAsia="仿宋_GB2312" w:hAnsi="Times New Roman" w:hint="eastAsia"/>
          <w:color w:val="000000"/>
          <w:spacing w:val="-4"/>
          <w:kern w:val="0"/>
          <w:sz w:val="32"/>
          <w:szCs w:val="32"/>
        </w:rPr>
        <w:t>基因扩增的乳腺浸润癌</w:t>
      </w:r>
      <w:r>
        <w:rPr>
          <w:rFonts w:ascii="Times New Roman" w:eastAsia="仿宋_GB2312" w:hAnsi="Times New Roman"/>
          <w:color w:val="000000"/>
          <w:spacing w:val="-4"/>
          <w:kern w:val="0"/>
          <w:sz w:val="32"/>
          <w:szCs w:val="32"/>
        </w:rPr>
        <w:t>/</w:t>
      </w:r>
      <w:r>
        <w:rPr>
          <w:rFonts w:ascii="Times New Roman" w:eastAsia="仿宋_GB2312" w:hAnsi="Times New Roman" w:hint="eastAsia"/>
          <w:color w:val="000000"/>
          <w:spacing w:val="-4"/>
          <w:kern w:val="0"/>
          <w:sz w:val="32"/>
          <w:szCs w:val="32"/>
        </w:rPr>
        <w:t>胃癌等组织</w:t>
      </w:r>
      <w:r>
        <w:rPr>
          <w:rFonts w:ascii="Times New Roman" w:eastAsia="仿宋_GB2312" w:hAnsi="Times New Roman"/>
          <w:color w:val="000000"/>
          <w:spacing w:val="-4"/>
          <w:kern w:val="0"/>
          <w:sz w:val="32"/>
          <w:szCs w:val="32"/>
        </w:rPr>
        <w:t>，或者人乳腺癌</w:t>
      </w:r>
      <w:r>
        <w:rPr>
          <w:rFonts w:ascii="Times New Roman" w:eastAsia="仿宋_GB2312" w:hAnsi="Times New Roman"/>
          <w:color w:val="000000"/>
          <w:spacing w:val="-4"/>
          <w:kern w:val="0"/>
          <w:sz w:val="32"/>
          <w:szCs w:val="32"/>
        </w:rPr>
        <w:t>/</w:t>
      </w:r>
      <w:r>
        <w:rPr>
          <w:rFonts w:ascii="Times New Roman" w:eastAsia="仿宋_GB2312" w:hAnsi="Times New Roman"/>
          <w:color w:val="000000"/>
          <w:spacing w:val="-4"/>
          <w:kern w:val="0"/>
          <w:sz w:val="32"/>
          <w:szCs w:val="32"/>
        </w:rPr>
        <w:t>胃癌</w:t>
      </w:r>
      <w:r>
        <w:rPr>
          <w:rFonts w:ascii="Times New Roman" w:eastAsia="仿宋_GB2312" w:hAnsi="Times New Roman" w:hint="eastAsia"/>
          <w:color w:val="000000"/>
          <w:spacing w:val="-4"/>
          <w:kern w:val="0"/>
          <w:sz w:val="32"/>
          <w:szCs w:val="32"/>
        </w:rPr>
        <w:t>等</w:t>
      </w:r>
      <w:r>
        <w:rPr>
          <w:rFonts w:ascii="Times New Roman" w:eastAsia="仿宋_GB2312" w:hAnsi="Times New Roman"/>
          <w:color w:val="000000"/>
          <w:spacing w:val="-4"/>
          <w:kern w:val="0"/>
          <w:sz w:val="32"/>
          <w:szCs w:val="32"/>
        </w:rPr>
        <w:t>细胞株。阴性参考品可选择经已上市产品确认</w:t>
      </w:r>
      <w:r>
        <w:rPr>
          <w:rFonts w:ascii="Times New Roman" w:eastAsia="仿宋_GB2312" w:hAnsi="Times New Roman"/>
          <w:color w:val="000000"/>
          <w:spacing w:val="-4"/>
          <w:kern w:val="0"/>
          <w:sz w:val="32"/>
          <w:szCs w:val="32"/>
        </w:rPr>
        <w:t>HER2</w:t>
      </w:r>
      <w:r>
        <w:rPr>
          <w:rFonts w:ascii="Times New Roman" w:eastAsia="仿宋_GB2312" w:hAnsi="Times New Roman"/>
          <w:color w:val="000000"/>
          <w:spacing w:val="-4"/>
          <w:kern w:val="0"/>
          <w:sz w:val="32"/>
          <w:szCs w:val="32"/>
        </w:rPr>
        <w:t>基因无扩增的</w:t>
      </w:r>
      <w:r>
        <w:rPr>
          <w:rFonts w:ascii="Times New Roman" w:eastAsia="仿宋_GB2312" w:hAnsi="Times New Roman" w:hint="eastAsia"/>
          <w:color w:val="000000"/>
          <w:spacing w:val="-4"/>
          <w:kern w:val="0"/>
          <w:sz w:val="32"/>
          <w:szCs w:val="32"/>
        </w:rPr>
        <w:t>相应</w:t>
      </w:r>
      <w:r>
        <w:rPr>
          <w:rFonts w:ascii="Times New Roman" w:eastAsia="仿宋_GB2312" w:hAnsi="Times New Roman"/>
          <w:color w:val="000000"/>
          <w:spacing w:val="-4"/>
          <w:kern w:val="0"/>
          <w:sz w:val="32"/>
          <w:szCs w:val="32"/>
        </w:rPr>
        <w:t>肿瘤组织或者肿瘤</w:t>
      </w:r>
      <w:r>
        <w:rPr>
          <w:rFonts w:ascii="Times New Roman" w:eastAsia="仿宋_GB2312" w:hAnsi="Times New Roman" w:hint="eastAsia"/>
          <w:color w:val="000000"/>
          <w:spacing w:val="-4"/>
          <w:kern w:val="0"/>
          <w:sz w:val="32"/>
          <w:szCs w:val="32"/>
        </w:rPr>
        <w:t>细胞株</w:t>
      </w:r>
      <w:r>
        <w:rPr>
          <w:rFonts w:ascii="Times New Roman" w:eastAsia="仿宋_GB2312" w:hAnsi="Times New Roman"/>
          <w:color w:val="000000"/>
          <w:spacing w:val="-4"/>
          <w:kern w:val="0"/>
          <w:sz w:val="32"/>
          <w:szCs w:val="32"/>
        </w:rPr>
        <w:t>。</w:t>
      </w:r>
      <w:r>
        <w:rPr>
          <w:rFonts w:ascii="Times New Roman" w:eastAsia="仿宋_GB2312" w:hAnsi="Times New Roman" w:hint="eastAsia"/>
          <w:color w:val="000000"/>
          <w:spacing w:val="-4"/>
          <w:kern w:val="0"/>
          <w:sz w:val="32"/>
          <w:szCs w:val="32"/>
        </w:rPr>
        <w:t>申请人应针对适用的每一癌种样本分别设置阴性参考品和阳性参考品。</w:t>
      </w:r>
      <w:r>
        <w:rPr>
          <w:rFonts w:ascii="Times New Roman" w:eastAsia="仿宋_GB2312" w:hAnsi="Times New Roman"/>
          <w:color w:val="000000"/>
          <w:spacing w:val="-4"/>
          <w:kern w:val="0"/>
          <w:sz w:val="32"/>
          <w:szCs w:val="32"/>
        </w:rPr>
        <w:t>特异性参考品可选择健康人外周血培养细胞，应含有较多染色体分散良好的中期分裂相淋巴细胞。</w:t>
      </w:r>
      <w:r>
        <w:rPr>
          <w:rFonts w:eastAsia="仿宋_GB2312"/>
          <w:sz w:val="32"/>
          <w:szCs w:val="32"/>
        </w:rPr>
        <w:t>申请人应提交有关企业参考品原料选择、制备方法、基因</w:t>
      </w:r>
      <w:r>
        <w:rPr>
          <w:rFonts w:eastAsia="仿宋_GB2312" w:hint="eastAsia"/>
          <w:sz w:val="32"/>
          <w:szCs w:val="32"/>
        </w:rPr>
        <w:t>扩增状态</w:t>
      </w:r>
      <w:r>
        <w:rPr>
          <w:rFonts w:eastAsia="仿宋_GB2312"/>
          <w:sz w:val="32"/>
          <w:szCs w:val="32"/>
        </w:rPr>
        <w:t>确认及检验标准</w:t>
      </w:r>
      <w:r>
        <w:rPr>
          <w:rFonts w:eastAsia="仿宋_GB2312" w:hint="eastAsia"/>
          <w:sz w:val="32"/>
          <w:szCs w:val="32"/>
        </w:rPr>
        <w:t>等</w:t>
      </w:r>
      <w:r>
        <w:rPr>
          <w:rFonts w:eastAsia="仿宋_GB2312"/>
          <w:sz w:val="32"/>
          <w:szCs w:val="32"/>
        </w:rPr>
        <w:t>的研究资料</w:t>
      </w:r>
      <w:r>
        <w:rPr>
          <w:rFonts w:eastAsia="仿宋_GB2312" w:hint="eastAsia"/>
          <w:sz w:val="32"/>
          <w:szCs w:val="32"/>
        </w:rPr>
        <w:t>。</w:t>
      </w:r>
      <w:r>
        <w:rPr>
          <w:rFonts w:ascii="Times New Roman" w:eastAsia="仿宋_GB2312" w:hAnsi="Times New Roman"/>
          <w:sz w:val="32"/>
          <w:szCs w:val="32"/>
        </w:rPr>
        <w:t xml:space="preserve"> </w:t>
      </w:r>
    </w:p>
    <w:p w:rsidR="009A28FC" w:rsidRDefault="00401542">
      <w:pPr>
        <w:spacing w:line="52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如有</w:t>
      </w:r>
      <w:r>
        <w:rPr>
          <w:rFonts w:ascii="Times New Roman" w:eastAsia="仿宋_GB2312" w:hAnsi="Times New Roman" w:hint="eastAsia"/>
          <w:sz w:val="32"/>
          <w:szCs w:val="32"/>
        </w:rPr>
        <w:t>适用的</w:t>
      </w:r>
      <w:r>
        <w:rPr>
          <w:rFonts w:ascii="Times New Roman" w:eastAsia="仿宋_GB2312" w:hAnsi="Times New Roman"/>
          <w:sz w:val="32"/>
          <w:szCs w:val="32"/>
        </w:rPr>
        <w:t>国家参考品</w:t>
      </w:r>
      <w:r>
        <w:rPr>
          <w:rFonts w:ascii="Times New Roman" w:eastAsia="仿宋_GB2312" w:hAnsi="Times New Roman" w:hint="eastAsia"/>
          <w:sz w:val="32"/>
          <w:szCs w:val="32"/>
        </w:rPr>
        <w:t>发布</w:t>
      </w:r>
      <w:r>
        <w:rPr>
          <w:rFonts w:ascii="Times New Roman" w:eastAsia="仿宋_GB2312" w:hAnsi="Times New Roman"/>
          <w:sz w:val="32"/>
          <w:szCs w:val="32"/>
        </w:rPr>
        <w:t>，企业参考品的要求应不低于国家参考品要求。</w:t>
      </w:r>
    </w:p>
    <w:p w:rsidR="009A28FC" w:rsidRDefault="00401542">
      <w:pPr>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5.</w:t>
      </w:r>
      <w:r>
        <w:rPr>
          <w:rFonts w:ascii="Times New Roman" w:eastAsia="仿宋_GB2312" w:hAnsi="Times New Roman" w:hint="eastAsia"/>
          <w:color w:val="000000"/>
          <w:sz w:val="32"/>
          <w:szCs w:val="32"/>
        </w:rPr>
        <w:t>5</w:t>
      </w:r>
      <w:r>
        <w:rPr>
          <w:rFonts w:ascii="Times New Roman" w:eastAsia="仿宋_GB2312" w:hAnsi="Times New Roman"/>
          <w:color w:val="000000"/>
          <w:sz w:val="32"/>
          <w:szCs w:val="32"/>
        </w:rPr>
        <w:t>生产工艺研究资料</w:t>
      </w:r>
    </w:p>
    <w:p w:rsidR="009A28FC" w:rsidRDefault="00401542">
      <w:pPr>
        <w:spacing w:line="520" w:lineRule="exact"/>
        <w:ind w:firstLineChars="200" w:firstLine="640"/>
        <w:rPr>
          <w:rFonts w:ascii="Times New Roman" w:eastAsia="仿宋_GB2312" w:hAnsi="Times New Roman"/>
          <w:sz w:val="32"/>
          <w:szCs w:val="32"/>
        </w:rPr>
      </w:pPr>
      <w:r>
        <w:rPr>
          <w:rFonts w:eastAsia="仿宋_GB2312"/>
          <w:sz w:val="32"/>
          <w:szCs w:val="32"/>
        </w:rPr>
        <w:t>生产工艺研究资料包括工作液配制（探针浓度、</w:t>
      </w:r>
      <w:r>
        <w:rPr>
          <w:rFonts w:eastAsia="仿宋_GB2312" w:hint="eastAsia"/>
          <w:sz w:val="32"/>
          <w:szCs w:val="32"/>
        </w:rPr>
        <w:t>荧光染料浓度、复染剂浓度、</w:t>
      </w:r>
      <w:r>
        <w:rPr>
          <w:rFonts w:ascii="Times New Roman" w:eastAsia="仿宋_GB2312" w:hAnsi="Times New Roman"/>
          <w:sz w:val="32"/>
          <w:szCs w:val="32"/>
        </w:rPr>
        <w:t>缓冲液离子浓度等）、分装和冻干（如有）、荧光标记等工艺过程</w:t>
      </w:r>
      <w:r>
        <w:rPr>
          <w:rFonts w:eastAsia="仿宋_GB2312"/>
          <w:sz w:val="32"/>
          <w:szCs w:val="32"/>
        </w:rPr>
        <w:t>的描述及确定依据。生产过程应对关键参数进行有效控制，可采用流程图方式描述生产工艺，标明关键工艺质控步骤，并详细说明该步骤的质</w:t>
      </w:r>
      <w:proofErr w:type="gramStart"/>
      <w:r>
        <w:rPr>
          <w:rFonts w:eastAsia="仿宋_GB2312"/>
          <w:sz w:val="32"/>
          <w:szCs w:val="32"/>
        </w:rPr>
        <w:t>控方法</w:t>
      </w:r>
      <w:proofErr w:type="gramEnd"/>
      <w:r>
        <w:rPr>
          <w:rFonts w:eastAsia="仿宋_GB2312"/>
          <w:sz w:val="32"/>
          <w:szCs w:val="32"/>
        </w:rPr>
        <w:t>及质控标准。</w:t>
      </w:r>
    </w:p>
    <w:p w:rsidR="009A28FC" w:rsidRDefault="00401542">
      <w:pPr>
        <w:spacing w:line="520" w:lineRule="exact"/>
        <w:ind w:rightChars="-32" w:right="-67" w:firstLineChars="200" w:firstLine="640"/>
        <w:rPr>
          <w:rFonts w:ascii="Times New Roman" w:eastAsia="楷体_GB2312" w:hAnsi="Times New Roman" w:cs="Times New Roman"/>
          <w:color w:val="000000"/>
          <w:sz w:val="32"/>
          <w:szCs w:val="32"/>
        </w:rPr>
      </w:pPr>
      <w:r>
        <w:rPr>
          <w:rFonts w:ascii="Times New Roman" w:eastAsia="楷体_GB2312" w:hAnsi="Times New Roman" w:cs="Times New Roman"/>
          <w:color w:val="000000"/>
          <w:sz w:val="32"/>
          <w:szCs w:val="32"/>
        </w:rPr>
        <w:t>（四）临床评价资料</w:t>
      </w:r>
    </w:p>
    <w:p w:rsidR="009A28FC" w:rsidRDefault="00401542">
      <w:pPr>
        <w:spacing w:line="520" w:lineRule="exact"/>
        <w:ind w:firstLineChars="200" w:firstLine="640"/>
        <w:rPr>
          <w:rFonts w:eastAsia="仿宋_GB2312"/>
          <w:color w:val="000000"/>
          <w:kern w:val="0"/>
          <w:sz w:val="32"/>
          <w:szCs w:val="32"/>
        </w:rPr>
      </w:pPr>
      <w:r>
        <w:rPr>
          <w:rFonts w:eastAsia="仿宋_GB2312"/>
          <w:color w:val="000000"/>
          <w:kern w:val="0"/>
          <w:sz w:val="32"/>
          <w:szCs w:val="32"/>
        </w:rPr>
        <w:t>临床试验总体要求及临床试验资料的内容应符合</w:t>
      </w:r>
      <w:r>
        <w:rPr>
          <w:rFonts w:eastAsia="仿宋_GB2312" w:hint="eastAsia"/>
          <w:color w:val="000000"/>
          <w:kern w:val="0"/>
          <w:sz w:val="32"/>
          <w:szCs w:val="32"/>
        </w:rPr>
        <w:t>相关法规及</w:t>
      </w:r>
      <w:r>
        <w:rPr>
          <w:rFonts w:eastAsia="仿宋_GB2312"/>
          <w:color w:val="000000"/>
          <w:kern w:val="0"/>
          <w:sz w:val="32"/>
          <w:szCs w:val="32"/>
        </w:rPr>
        <w:t>《体外诊断试剂临床试验技术指导原则》的</w:t>
      </w:r>
      <w:r>
        <w:rPr>
          <w:rFonts w:eastAsia="仿宋_GB2312" w:hint="eastAsia"/>
          <w:color w:val="000000"/>
          <w:kern w:val="0"/>
          <w:sz w:val="32"/>
          <w:szCs w:val="32"/>
        </w:rPr>
        <w:t>要求</w:t>
      </w:r>
      <w:r>
        <w:rPr>
          <w:rFonts w:eastAsia="仿宋_GB2312"/>
          <w:color w:val="000000"/>
          <w:kern w:val="0"/>
          <w:sz w:val="32"/>
          <w:szCs w:val="32"/>
        </w:rPr>
        <w:t>，以下仅结合人表皮生长因子受体</w:t>
      </w:r>
      <w:r>
        <w:rPr>
          <w:rFonts w:ascii="Times New Roman" w:eastAsia="仿宋_GB2312" w:hAnsi="Times New Roman" w:cs="Times New Roman"/>
          <w:color w:val="000000"/>
          <w:kern w:val="0"/>
          <w:sz w:val="32"/>
          <w:szCs w:val="32"/>
        </w:rPr>
        <w:t>2</w:t>
      </w:r>
      <w:r>
        <w:rPr>
          <w:rFonts w:eastAsia="仿宋_GB2312"/>
          <w:color w:val="000000"/>
          <w:kern w:val="0"/>
          <w:sz w:val="32"/>
          <w:szCs w:val="32"/>
        </w:rPr>
        <w:t>基因扩增检测试剂盒（荧光原位杂交法）的具体特点对其临床试验中应重点关注的内容进行阐述。</w:t>
      </w:r>
      <w:r>
        <w:rPr>
          <w:rFonts w:eastAsia="仿宋_GB2312" w:hint="eastAsia"/>
          <w:color w:val="000000"/>
          <w:kern w:val="0"/>
          <w:sz w:val="32"/>
          <w:szCs w:val="32"/>
        </w:rPr>
        <w:t>本指导原则临床评价以分子靶</w:t>
      </w:r>
      <w:proofErr w:type="gramStart"/>
      <w:r>
        <w:rPr>
          <w:rFonts w:eastAsia="仿宋_GB2312" w:hint="eastAsia"/>
          <w:color w:val="000000"/>
          <w:kern w:val="0"/>
          <w:sz w:val="32"/>
          <w:szCs w:val="32"/>
        </w:rPr>
        <w:t>向药物曲妥珠单</w:t>
      </w:r>
      <w:proofErr w:type="gramEnd"/>
      <w:r>
        <w:rPr>
          <w:rFonts w:eastAsia="仿宋_GB2312" w:hint="eastAsia"/>
          <w:color w:val="000000"/>
          <w:kern w:val="0"/>
          <w:sz w:val="32"/>
          <w:szCs w:val="32"/>
        </w:rPr>
        <w:t>抗为例，如申报产品所伴随药物为其他药物，则应根据伴随诊断试剂相关指导原则的要求提供伴随诊断证据。</w:t>
      </w:r>
      <w:r>
        <w:rPr>
          <w:rFonts w:eastAsia="仿宋_GB2312" w:hint="eastAsia"/>
          <w:color w:val="000000"/>
          <w:kern w:val="0"/>
          <w:sz w:val="32"/>
          <w:szCs w:val="32"/>
        </w:rPr>
        <w:t>如申报产品为与新开发的抗肿瘤药物同步研</w:t>
      </w:r>
      <w:r>
        <w:rPr>
          <w:rFonts w:eastAsia="仿宋_GB2312" w:hint="eastAsia"/>
          <w:color w:val="000000"/>
          <w:kern w:val="0"/>
          <w:sz w:val="32"/>
          <w:szCs w:val="32"/>
        </w:rPr>
        <w:lastRenderedPageBreak/>
        <w:t>发的伴随诊断试剂，则可提供与药物同步开发的药物临床试验资料作为其伴随诊断证据。药物临床试验报告中应明确所使用的伴随诊断试剂为申报产品，并明确申报产品在药物临床试验中所起的作用以及与药物疗效的关系。</w:t>
      </w:r>
    </w:p>
    <w:p w:rsidR="009A28FC" w:rsidRDefault="00401542">
      <w:pPr>
        <w:spacing w:line="520" w:lineRule="exact"/>
        <w:ind w:firstLineChars="200" w:firstLine="640"/>
        <w:rPr>
          <w:rFonts w:eastAsia="仿宋_GB2312"/>
          <w:color w:val="000000"/>
          <w:kern w:val="0"/>
          <w:sz w:val="32"/>
          <w:szCs w:val="32"/>
        </w:rPr>
      </w:pPr>
      <w:r>
        <w:rPr>
          <w:rFonts w:ascii="Times New Roman" w:eastAsia="仿宋_GB2312" w:hAnsi="Times New Roman" w:cs="Times New Roman"/>
          <w:color w:val="000000"/>
          <w:kern w:val="0"/>
          <w:sz w:val="32"/>
          <w:szCs w:val="32"/>
        </w:rPr>
        <w:t>1.</w:t>
      </w:r>
      <w:r>
        <w:rPr>
          <w:rFonts w:eastAsia="仿宋_GB2312"/>
          <w:color w:val="000000"/>
          <w:kern w:val="0"/>
          <w:sz w:val="32"/>
          <w:szCs w:val="32"/>
        </w:rPr>
        <w:t>临床试验机构及人员的要求</w:t>
      </w:r>
    </w:p>
    <w:p w:rsidR="009A28FC" w:rsidRDefault="00401542">
      <w:pPr>
        <w:spacing w:line="520" w:lineRule="exact"/>
        <w:ind w:firstLineChars="200" w:firstLine="640"/>
        <w:rPr>
          <w:rFonts w:eastAsia="仿宋_GB2312"/>
          <w:color w:val="000000"/>
          <w:kern w:val="0"/>
          <w:sz w:val="32"/>
          <w:szCs w:val="32"/>
        </w:rPr>
      </w:pPr>
      <w:r>
        <w:rPr>
          <w:rFonts w:eastAsia="仿宋_GB2312"/>
          <w:color w:val="000000"/>
          <w:kern w:val="0"/>
          <w:sz w:val="32"/>
          <w:szCs w:val="32"/>
        </w:rPr>
        <w:t>申请人应当选定不少于</w:t>
      </w:r>
      <w:r>
        <w:rPr>
          <w:rFonts w:ascii="Times New Roman" w:eastAsia="仿宋_GB2312" w:hAnsi="Times New Roman" w:cs="Times New Roman"/>
          <w:color w:val="000000"/>
          <w:kern w:val="0"/>
          <w:sz w:val="32"/>
          <w:szCs w:val="32"/>
        </w:rPr>
        <w:t>3</w:t>
      </w:r>
      <w:r>
        <w:rPr>
          <w:rFonts w:eastAsia="仿宋_GB2312"/>
          <w:color w:val="000000"/>
          <w:kern w:val="0"/>
          <w:sz w:val="32"/>
          <w:szCs w:val="32"/>
        </w:rPr>
        <w:t>家（含</w:t>
      </w:r>
      <w:r>
        <w:rPr>
          <w:rFonts w:ascii="Times New Roman" w:eastAsia="仿宋_GB2312" w:hAnsi="Times New Roman" w:cs="Times New Roman"/>
          <w:color w:val="000000"/>
          <w:kern w:val="0"/>
          <w:sz w:val="32"/>
          <w:szCs w:val="32"/>
        </w:rPr>
        <w:t>3</w:t>
      </w:r>
      <w:r>
        <w:rPr>
          <w:rFonts w:eastAsia="仿宋_GB2312"/>
          <w:color w:val="000000"/>
          <w:kern w:val="0"/>
          <w:sz w:val="32"/>
          <w:szCs w:val="32"/>
        </w:rPr>
        <w:t>家）已备案的医疗器械临床试验机构，按照有关规定开展临床试验。</w:t>
      </w:r>
      <w:r>
        <w:rPr>
          <w:rFonts w:eastAsia="仿宋_GB2312" w:hint="eastAsia"/>
          <w:color w:val="000000"/>
          <w:kern w:val="0"/>
          <w:sz w:val="32"/>
          <w:szCs w:val="32"/>
        </w:rPr>
        <w:t>临床试验机构应能够常规开展相关肿瘤分子病理检测，具有免疫组织化学、荧光原位杂交技术和病理诊断等检测的优势，</w:t>
      </w:r>
      <w:r>
        <w:rPr>
          <w:rFonts w:eastAsia="仿宋_GB2312"/>
          <w:color w:val="000000"/>
          <w:kern w:val="0"/>
          <w:sz w:val="32"/>
          <w:szCs w:val="32"/>
        </w:rPr>
        <w:t>临床试验主要研究者应具有设计并实施相关临床试验的能</w:t>
      </w:r>
      <w:r>
        <w:rPr>
          <w:rFonts w:eastAsia="仿宋_GB2312"/>
          <w:color w:val="000000"/>
          <w:kern w:val="0"/>
          <w:sz w:val="32"/>
          <w:szCs w:val="32"/>
        </w:rPr>
        <w:t>力、具有试验体外诊断试剂临床试验所要求的专业知识和经验，应熟悉相关的临床试验法规要求。参与临床试验的人员经培训后应熟悉相关检测技术的原理、适用范围、操作方法等，并能够对检测结果进行正确判读。临床试验整个过程均应处于有效的质量控制下，最大限度保证试验数据的准确性及可重复性</w:t>
      </w:r>
      <w:r>
        <w:rPr>
          <w:rFonts w:eastAsia="仿宋_GB2312" w:hint="eastAsia"/>
          <w:color w:val="000000"/>
          <w:kern w:val="0"/>
          <w:sz w:val="32"/>
          <w:szCs w:val="32"/>
        </w:rPr>
        <w:t>。</w:t>
      </w:r>
    </w:p>
    <w:p w:rsidR="009A28FC" w:rsidRDefault="00401542">
      <w:pPr>
        <w:spacing w:line="520" w:lineRule="exact"/>
        <w:ind w:firstLineChars="200" w:firstLine="640"/>
        <w:rPr>
          <w:rFonts w:eastAsia="仿宋_GB2312"/>
          <w:color w:val="000000"/>
          <w:kern w:val="0"/>
          <w:sz w:val="32"/>
          <w:szCs w:val="32"/>
        </w:rPr>
      </w:pPr>
      <w:r>
        <w:rPr>
          <w:rFonts w:ascii="Times New Roman" w:eastAsia="仿宋_GB2312" w:hAnsi="Times New Roman" w:cs="Times New Roman"/>
          <w:color w:val="000000"/>
          <w:kern w:val="0"/>
          <w:sz w:val="32"/>
          <w:szCs w:val="32"/>
        </w:rPr>
        <w:t>2.</w:t>
      </w:r>
      <w:r>
        <w:rPr>
          <w:rFonts w:eastAsia="仿宋_GB2312" w:hint="eastAsia"/>
          <w:color w:val="000000"/>
          <w:kern w:val="0"/>
          <w:sz w:val="32"/>
          <w:szCs w:val="32"/>
        </w:rPr>
        <w:t>对比方法的选择</w:t>
      </w:r>
    </w:p>
    <w:p w:rsidR="009A28FC" w:rsidRDefault="00401542">
      <w:pPr>
        <w:autoSpaceDE w:val="0"/>
        <w:autoSpaceDN w:val="0"/>
        <w:adjustRightInd w:val="0"/>
        <w:spacing w:line="520" w:lineRule="exact"/>
        <w:ind w:firstLineChars="200" w:firstLine="640"/>
        <w:jc w:val="left"/>
        <w:rPr>
          <w:rFonts w:eastAsia="仿宋_GB2312"/>
          <w:color w:val="000000"/>
          <w:kern w:val="0"/>
          <w:sz w:val="32"/>
          <w:szCs w:val="32"/>
        </w:rPr>
      </w:pPr>
      <w:r>
        <w:rPr>
          <w:rFonts w:eastAsia="仿宋_GB2312"/>
          <w:color w:val="000000"/>
          <w:kern w:val="0"/>
          <w:sz w:val="32"/>
          <w:szCs w:val="32"/>
        </w:rPr>
        <w:t>应选用申报产品所声称伴随的抗肿瘤药物的原研伴随诊断试剂作为对比试剂。</w:t>
      </w:r>
    </w:p>
    <w:p w:rsidR="009A28FC" w:rsidRDefault="00401542">
      <w:pPr>
        <w:spacing w:line="520" w:lineRule="exact"/>
        <w:ind w:firstLineChars="200" w:firstLine="640"/>
        <w:rPr>
          <w:rFonts w:eastAsia="仿宋_GB2312"/>
          <w:color w:val="000000"/>
          <w:kern w:val="0"/>
          <w:sz w:val="32"/>
          <w:szCs w:val="32"/>
        </w:rPr>
      </w:pPr>
      <w:r>
        <w:rPr>
          <w:rFonts w:eastAsia="仿宋_GB2312"/>
          <w:color w:val="000000"/>
          <w:kern w:val="0"/>
          <w:sz w:val="32"/>
          <w:szCs w:val="32"/>
        </w:rPr>
        <w:t>申报产品用于指导用药的灵敏度应与原研伴随诊断试剂相当，根据原研伴随诊断试剂的灵敏度水平设置相应的阳性判断值，以保证两者具有较好的一致性。</w:t>
      </w:r>
    </w:p>
    <w:p w:rsidR="009A28FC" w:rsidRDefault="00401542">
      <w:pPr>
        <w:spacing w:line="520" w:lineRule="exact"/>
        <w:ind w:firstLineChars="200" w:firstLine="640"/>
        <w:rPr>
          <w:rFonts w:eastAsia="仿宋_GB2312"/>
          <w:color w:val="000000"/>
          <w:kern w:val="0"/>
          <w:sz w:val="32"/>
          <w:szCs w:val="32"/>
        </w:rPr>
      </w:pPr>
      <w:r>
        <w:rPr>
          <w:rFonts w:ascii="Times New Roman" w:eastAsia="仿宋_GB2312" w:hAnsi="Times New Roman" w:cs="Times New Roman"/>
          <w:color w:val="000000"/>
          <w:kern w:val="0"/>
          <w:sz w:val="32"/>
          <w:szCs w:val="32"/>
        </w:rPr>
        <w:t>3.</w:t>
      </w:r>
      <w:r>
        <w:rPr>
          <w:rFonts w:eastAsia="仿宋_GB2312" w:hint="eastAsia"/>
          <w:color w:val="000000"/>
          <w:kern w:val="0"/>
          <w:sz w:val="32"/>
          <w:szCs w:val="32"/>
        </w:rPr>
        <w:t>临床试</w:t>
      </w:r>
      <w:r>
        <w:rPr>
          <w:rFonts w:eastAsia="仿宋_GB2312" w:hint="eastAsia"/>
          <w:color w:val="000000"/>
          <w:kern w:val="0"/>
          <w:sz w:val="32"/>
          <w:szCs w:val="32"/>
        </w:rPr>
        <w:t>验适用人群和样本类型</w:t>
      </w:r>
    </w:p>
    <w:p w:rsidR="009A28FC" w:rsidRDefault="00401542">
      <w:pPr>
        <w:spacing w:line="520" w:lineRule="exact"/>
        <w:ind w:firstLineChars="200" w:firstLine="640"/>
        <w:rPr>
          <w:rFonts w:eastAsia="仿宋_GB2312"/>
          <w:color w:val="000000"/>
          <w:kern w:val="0"/>
          <w:sz w:val="32"/>
          <w:szCs w:val="32"/>
        </w:rPr>
      </w:pPr>
      <w:r>
        <w:rPr>
          <w:rFonts w:eastAsia="仿宋_GB2312"/>
          <w:color w:val="000000"/>
          <w:kern w:val="0"/>
          <w:sz w:val="32"/>
          <w:szCs w:val="32"/>
        </w:rPr>
        <w:t>对于适应</w:t>
      </w:r>
      <w:r>
        <w:rPr>
          <w:rFonts w:eastAsia="仿宋_GB2312" w:hint="eastAsia"/>
          <w:color w:val="000000"/>
          <w:kern w:val="0"/>
          <w:sz w:val="32"/>
          <w:szCs w:val="32"/>
        </w:rPr>
        <w:t>证</w:t>
      </w:r>
      <w:r>
        <w:rPr>
          <w:rFonts w:eastAsia="仿宋_GB2312"/>
          <w:color w:val="000000"/>
          <w:kern w:val="0"/>
          <w:sz w:val="32"/>
          <w:szCs w:val="32"/>
        </w:rPr>
        <w:t>为浸润性乳腺癌的情况，</w:t>
      </w:r>
      <w:r>
        <w:rPr>
          <w:rFonts w:eastAsia="仿宋_GB2312" w:hint="eastAsia"/>
          <w:color w:val="000000"/>
          <w:kern w:val="0"/>
          <w:sz w:val="32"/>
          <w:szCs w:val="32"/>
        </w:rPr>
        <w:t>适用人群为经病理诊断为浸润性乳腺癌的人群，应注意纳入乳腺癌不同分期的病例，同</w:t>
      </w:r>
      <w:r>
        <w:rPr>
          <w:rFonts w:eastAsia="仿宋_GB2312" w:hint="eastAsia"/>
          <w:color w:val="000000"/>
          <w:kern w:val="0"/>
          <w:sz w:val="32"/>
          <w:szCs w:val="32"/>
        </w:rPr>
        <w:lastRenderedPageBreak/>
        <w:t>时</w:t>
      </w:r>
      <w:r>
        <w:rPr>
          <w:rFonts w:eastAsia="仿宋_GB2312"/>
          <w:color w:val="000000"/>
          <w:kern w:val="0"/>
          <w:sz w:val="32"/>
          <w:szCs w:val="32"/>
        </w:rPr>
        <w:t>应</w:t>
      </w:r>
      <w:r>
        <w:rPr>
          <w:rFonts w:eastAsia="仿宋_GB2312" w:hint="eastAsia"/>
          <w:color w:val="000000"/>
          <w:kern w:val="0"/>
          <w:sz w:val="32"/>
          <w:szCs w:val="32"/>
        </w:rPr>
        <w:t>纳入</w:t>
      </w:r>
      <w:r>
        <w:rPr>
          <w:rFonts w:eastAsia="仿宋_GB2312" w:hint="eastAsia"/>
          <w:kern w:val="0"/>
          <w:sz w:val="32"/>
          <w:szCs w:val="32"/>
        </w:rPr>
        <w:t>常见</w:t>
      </w:r>
      <w:r>
        <w:rPr>
          <w:rFonts w:eastAsia="仿宋_GB2312"/>
          <w:kern w:val="0"/>
          <w:sz w:val="32"/>
          <w:szCs w:val="32"/>
        </w:rPr>
        <w:t>的</w:t>
      </w:r>
      <w:r>
        <w:rPr>
          <w:rFonts w:eastAsia="仿宋_GB2312"/>
          <w:color w:val="000000"/>
          <w:kern w:val="0"/>
          <w:sz w:val="32"/>
          <w:szCs w:val="32"/>
        </w:rPr>
        <w:t>浸润性乳腺癌病理组织类型，如乳腺浸润</w:t>
      </w:r>
      <w:proofErr w:type="gramStart"/>
      <w:r>
        <w:rPr>
          <w:rFonts w:eastAsia="仿宋_GB2312"/>
          <w:color w:val="000000"/>
          <w:kern w:val="0"/>
          <w:sz w:val="32"/>
          <w:szCs w:val="32"/>
        </w:rPr>
        <w:t>性癌非特殊</w:t>
      </w:r>
      <w:proofErr w:type="gramEnd"/>
      <w:r>
        <w:rPr>
          <w:rFonts w:eastAsia="仿宋_GB2312"/>
          <w:color w:val="000000"/>
          <w:kern w:val="0"/>
          <w:sz w:val="32"/>
          <w:szCs w:val="32"/>
        </w:rPr>
        <w:t>类型、乳腺浸润性小叶癌、小管癌、粘液癌</w:t>
      </w:r>
      <w:r>
        <w:rPr>
          <w:rFonts w:eastAsia="仿宋_GB2312" w:hint="eastAsia"/>
          <w:color w:val="000000"/>
          <w:kern w:val="0"/>
          <w:sz w:val="32"/>
          <w:szCs w:val="32"/>
        </w:rPr>
        <w:t>等</w:t>
      </w:r>
      <w:r>
        <w:rPr>
          <w:rFonts w:eastAsia="仿宋_GB2312"/>
          <w:color w:val="000000"/>
          <w:kern w:val="0"/>
          <w:sz w:val="32"/>
          <w:szCs w:val="32"/>
        </w:rPr>
        <w:t>。</w:t>
      </w:r>
    </w:p>
    <w:p w:rsidR="009A28FC" w:rsidRDefault="00401542">
      <w:pPr>
        <w:spacing w:line="520" w:lineRule="exact"/>
        <w:ind w:firstLineChars="200" w:firstLine="640"/>
        <w:rPr>
          <w:rFonts w:eastAsia="仿宋_GB2312"/>
          <w:color w:val="000000"/>
          <w:kern w:val="0"/>
          <w:sz w:val="32"/>
          <w:szCs w:val="32"/>
        </w:rPr>
      </w:pPr>
      <w:r>
        <w:rPr>
          <w:rFonts w:eastAsia="仿宋_GB2312"/>
          <w:color w:val="000000"/>
          <w:kern w:val="0"/>
          <w:sz w:val="32"/>
          <w:szCs w:val="32"/>
        </w:rPr>
        <w:t>对于适应</w:t>
      </w:r>
      <w:r>
        <w:rPr>
          <w:rFonts w:eastAsia="仿宋_GB2312" w:hint="eastAsia"/>
          <w:color w:val="000000"/>
          <w:kern w:val="0"/>
          <w:sz w:val="32"/>
          <w:szCs w:val="32"/>
        </w:rPr>
        <w:t>证</w:t>
      </w:r>
      <w:r>
        <w:rPr>
          <w:rFonts w:eastAsia="仿宋_GB2312"/>
          <w:color w:val="000000"/>
          <w:kern w:val="0"/>
          <w:sz w:val="32"/>
          <w:szCs w:val="32"/>
        </w:rPr>
        <w:t>为胃癌的情况，适用人群</w:t>
      </w:r>
      <w:r>
        <w:rPr>
          <w:rFonts w:eastAsia="仿宋_GB2312" w:hint="eastAsia"/>
          <w:color w:val="000000"/>
          <w:kern w:val="0"/>
          <w:sz w:val="32"/>
          <w:szCs w:val="32"/>
        </w:rPr>
        <w:t>为经病理诊断为胃癌的人群，应注意纳入胃癌不同分期的病例，同时应纳入</w:t>
      </w:r>
      <w:r>
        <w:rPr>
          <w:rFonts w:eastAsia="仿宋_GB2312"/>
          <w:color w:val="000000"/>
          <w:kern w:val="0"/>
          <w:sz w:val="32"/>
          <w:szCs w:val="32"/>
        </w:rPr>
        <w:t>临床常见的腺癌病理组织类型，如肠型、弥漫型、混合型（</w:t>
      </w:r>
      <w:r>
        <w:rPr>
          <w:rFonts w:ascii="Times New Roman" w:eastAsia="仿宋_GB2312" w:hAnsi="Times New Roman" w:cs="Times New Roman"/>
          <w:color w:val="000000"/>
          <w:kern w:val="0"/>
          <w:sz w:val="32"/>
          <w:szCs w:val="32"/>
        </w:rPr>
        <w:t>Lauren</w:t>
      </w:r>
      <w:r>
        <w:rPr>
          <w:rFonts w:eastAsia="仿宋_GB2312"/>
          <w:color w:val="000000"/>
          <w:kern w:val="0"/>
          <w:sz w:val="32"/>
          <w:szCs w:val="32"/>
        </w:rPr>
        <w:t>分型）</w:t>
      </w:r>
      <w:r>
        <w:rPr>
          <w:rFonts w:eastAsia="仿宋_GB2312" w:hint="eastAsia"/>
          <w:color w:val="000000"/>
          <w:kern w:val="0"/>
          <w:sz w:val="32"/>
          <w:szCs w:val="32"/>
        </w:rPr>
        <w:t>等</w:t>
      </w:r>
      <w:r>
        <w:rPr>
          <w:rFonts w:eastAsia="仿宋_GB2312"/>
          <w:color w:val="000000"/>
          <w:kern w:val="0"/>
          <w:sz w:val="32"/>
          <w:szCs w:val="32"/>
        </w:rPr>
        <w:t>。</w:t>
      </w:r>
      <w:r>
        <w:rPr>
          <w:rFonts w:eastAsia="仿宋_GB2312" w:hint="eastAsia"/>
          <w:color w:val="000000"/>
          <w:kern w:val="0"/>
          <w:sz w:val="32"/>
          <w:szCs w:val="32"/>
        </w:rPr>
        <w:t>针对</w:t>
      </w:r>
      <w:proofErr w:type="gramStart"/>
      <w:r>
        <w:rPr>
          <w:rFonts w:eastAsia="仿宋_GB2312" w:hint="eastAsia"/>
          <w:color w:val="000000"/>
          <w:kern w:val="0"/>
          <w:sz w:val="32"/>
          <w:szCs w:val="32"/>
        </w:rPr>
        <w:t>曲妥珠单</w:t>
      </w:r>
      <w:proofErr w:type="gramEnd"/>
      <w:r>
        <w:rPr>
          <w:rFonts w:eastAsia="仿宋_GB2312" w:hint="eastAsia"/>
          <w:color w:val="000000"/>
          <w:kern w:val="0"/>
          <w:sz w:val="32"/>
          <w:szCs w:val="32"/>
        </w:rPr>
        <w:t>抗药物适应证人群应有</w:t>
      </w:r>
      <w:proofErr w:type="gramStart"/>
      <w:r>
        <w:rPr>
          <w:rFonts w:eastAsia="仿宋_GB2312" w:hint="eastAsia"/>
          <w:color w:val="000000"/>
          <w:kern w:val="0"/>
          <w:sz w:val="32"/>
          <w:szCs w:val="32"/>
        </w:rPr>
        <w:t>一</w:t>
      </w:r>
      <w:proofErr w:type="gramEnd"/>
      <w:r>
        <w:rPr>
          <w:rFonts w:eastAsia="仿宋_GB2312" w:hint="eastAsia"/>
          <w:color w:val="000000"/>
          <w:kern w:val="0"/>
          <w:sz w:val="32"/>
          <w:szCs w:val="32"/>
        </w:rPr>
        <w:t>定例数。</w:t>
      </w:r>
    </w:p>
    <w:p w:rsidR="009A28FC" w:rsidRDefault="00401542">
      <w:pPr>
        <w:spacing w:line="520" w:lineRule="exact"/>
        <w:ind w:firstLineChars="200" w:firstLine="640"/>
        <w:rPr>
          <w:rFonts w:eastAsia="仿宋_GB2312"/>
          <w:b/>
          <w:color w:val="000000"/>
          <w:kern w:val="0"/>
          <w:sz w:val="32"/>
          <w:szCs w:val="32"/>
        </w:rPr>
      </w:pPr>
      <w:r>
        <w:rPr>
          <w:rFonts w:eastAsia="仿宋_GB2312"/>
          <w:color w:val="000000"/>
          <w:kern w:val="0"/>
          <w:sz w:val="32"/>
          <w:szCs w:val="32"/>
        </w:rPr>
        <w:t>临床试验</w:t>
      </w:r>
      <w:proofErr w:type="gramStart"/>
      <w:r>
        <w:rPr>
          <w:rFonts w:eastAsia="仿宋_GB2312"/>
          <w:color w:val="000000"/>
          <w:kern w:val="0"/>
          <w:sz w:val="32"/>
          <w:szCs w:val="32"/>
        </w:rPr>
        <w:t>应选择</w:t>
      </w:r>
      <w:r>
        <w:rPr>
          <w:rFonts w:eastAsia="仿宋_GB2312" w:hint="eastAsia"/>
          <w:color w:val="000000"/>
          <w:kern w:val="0"/>
          <w:sz w:val="32"/>
          <w:szCs w:val="32"/>
        </w:rPr>
        <w:t>经</w:t>
      </w:r>
      <w:proofErr w:type="gramEnd"/>
      <w:r>
        <w:rPr>
          <w:rFonts w:ascii="Times New Roman" w:eastAsia="仿宋_GB2312" w:hAnsi="Times New Roman" w:cs="Times New Roman"/>
          <w:color w:val="000000"/>
          <w:kern w:val="0"/>
          <w:sz w:val="32"/>
          <w:szCs w:val="32"/>
        </w:rPr>
        <w:t>10%</w:t>
      </w:r>
      <w:r>
        <w:rPr>
          <w:rFonts w:eastAsia="仿宋_GB2312"/>
          <w:color w:val="000000"/>
          <w:kern w:val="0"/>
          <w:sz w:val="32"/>
          <w:szCs w:val="32"/>
        </w:rPr>
        <w:t>中性</w:t>
      </w:r>
      <w:r>
        <w:rPr>
          <w:rFonts w:eastAsia="仿宋_GB2312" w:hint="eastAsia"/>
          <w:color w:val="000000"/>
          <w:kern w:val="0"/>
          <w:sz w:val="32"/>
          <w:szCs w:val="32"/>
        </w:rPr>
        <w:t>缓冲</w:t>
      </w:r>
      <w:r>
        <w:rPr>
          <w:rFonts w:eastAsia="仿宋_GB2312"/>
          <w:color w:val="000000"/>
          <w:kern w:val="0"/>
          <w:sz w:val="32"/>
          <w:szCs w:val="32"/>
        </w:rPr>
        <w:t>福尔马林固定的石蜡包埋组织样本。</w:t>
      </w:r>
      <w:r>
        <w:rPr>
          <w:rFonts w:eastAsia="仿宋_GB2312" w:hint="eastAsia"/>
          <w:color w:val="000000"/>
          <w:kern w:val="0"/>
          <w:sz w:val="32"/>
          <w:szCs w:val="32"/>
        </w:rPr>
        <w:t>如对于手术标本或活检标本均适用，则临床试验中对于两种标本均应纳入。</w:t>
      </w:r>
      <w:r>
        <w:rPr>
          <w:rFonts w:eastAsia="仿宋_GB2312"/>
          <w:color w:val="000000"/>
          <w:kern w:val="0"/>
          <w:sz w:val="32"/>
          <w:szCs w:val="32"/>
        </w:rPr>
        <w:t>临床样本的处理、保存等应分别满足申报产品说明书及对比试剂说明书的相关要求。</w:t>
      </w:r>
    </w:p>
    <w:p w:rsidR="009A28FC" w:rsidRDefault="00401542">
      <w:pPr>
        <w:spacing w:line="520" w:lineRule="exact"/>
        <w:ind w:firstLineChars="200" w:firstLine="640"/>
        <w:rPr>
          <w:rFonts w:eastAsia="仿宋_GB2312"/>
          <w:sz w:val="32"/>
          <w:szCs w:val="32"/>
        </w:rPr>
      </w:pPr>
      <w:r>
        <w:rPr>
          <w:rFonts w:ascii="Times New Roman" w:eastAsia="黑体" w:hAnsi="Times New Roman" w:cs="Times New Roman"/>
          <w:sz w:val="32"/>
          <w:szCs w:val="32"/>
        </w:rPr>
        <w:t>4.</w:t>
      </w:r>
      <w:r>
        <w:rPr>
          <w:rFonts w:eastAsia="仿宋_GB2312"/>
          <w:sz w:val="32"/>
          <w:szCs w:val="32"/>
        </w:rPr>
        <w:t>最低样本量</w:t>
      </w:r>
    </w:p>
    <w:p w:rsidR="009A28FC" w:rsidRDefault="00401542">
      <w:pPr>
        <w:spacing w:line="520" w:lineRule="exact"/>
        <w:ind w:firstLineChars="200" w:firstLine="640"/>
        <w:rPr>
          <w:rFonts w:eastAsia="仿宋_GB2312"/>
          <w:sz w:val="32"/>
          <w:szCs w:val="32"/>
        </w:rPr>
      </w:pPr>
      <w:r>
        <w:rPr>
          <w:rFonts w:eastAsia="仿宋_GB2312"/>
          <w:sz w:val="32"/>
          <w:szCs w:val="32"/>
        </w:rPr>
        <w:t>临床试验样本量应采用适当的统计学方法进行估算，并详细描述所使用统计方法及各参数的确定依据。此部分临床试验目的为评估两种检测方法之间的一致性，因此</w:t>
      </w:r>
      <w:r>
        <w:rPr>
          <w:rFonts w:eastAsia="仿宋_GB2312" w:hint="eastAsia"/>
          <w:sz w:val="32"/>
          <w:szCs w:val="32"/>
        </w:rPr>
        <w:t>对于</w:t>
      </w:r>
      <w:r>
        <w:rPr>
          <w:rFonts w:ascii="Times New Roman" w:eastAsia="仿宋_GB2312" w:hAnsi="Times New Roman" w:cs="Times New Roman"/>
          <w:sz w:val="32"/>
          <w:szCs w:val="32"/>
        </w:rPr>
        <w:t>HER2</w:t>
      </w:r>
      <w:r>
        <w:rPr>
          <w:rFonts w:eastAsia="仿宋_GB2312" w:hint="eastAsia"/>
          <w:sz w:val="32"/>
          <w:szCs w:val="32"/>
        </w:rPr>
        <w:t>基因扩增状态的阳性、阴性</w:t>
      </w:r>
      <w:r>
        <w:rPr>
          <w:rFonts w:eastAsia="仿宋_GB2312"/>
          <w:sz w:val="32"/>
          <w:szCs w:val="32"/>
        </w:rPr>
        <w:t>样本</w:t>
      </w:r>
      <w:r>
        <w:rPr>
          <w:rFonts w:eastAsia="仿宋_GB2312" w:hint="eastAsia"/>
          <w:sz w:val="32"/>
          <w:szCs w:val="32"/>
        </w:rPr>
        <w:t>例</w:t>
      </w:r>
      <w:proofErr w:type="gramStart"/>
      <w:r>
        <w:rPr>
          <w:rFonts w:eastAsia="仿宋_GB2312" w:hint="eastAsia"/>
          <w:sz w:val="32"/>
          <w:szCs w:val="32"/>
        </w:rPr>
        <w:t>数</w:t>
      </w:r>
      <w:r>
        <w:rPr>
          <w:rFonts w:eastAsia="仿宋_GB2312"/>
          <w:sz w:val="32"/>
          <w:szCs w:val="32"/>
        </w:rPr>
        <w:t>建议</w:t>
      </w:r>
      <w:proofErr w:type="gramEnd"/>
      <w:r>
        <w:rPr>
          <w:rFonts w:eastAsia="仿宋_GB2312"/>
          <w:sz w:val="32"/>
          <w:szCs w:val="32"/>
        </w:rPr>
        <w:t>采用单组目标值法</w:t>
      </w:r>
      <w:r>
        <w:rPr>
          <w:rFonts w:eastAsia="仿宋_GB2312" w:hint="eastAsia"/>
          <w:sz w:val="32"/>
          <w:szCs w:val="32"/>
        </w:rPr>
        <w:t>进行最低样本量估算，</w:t>
      </w:r>
      <w:r>
        <w:rPr>
          <w:rFonts w:eastAsia="仿宋_GB2312"/>
          <w:sz w:val="32"/>
          <w:szCs w:val="32"/>
        </w:rPr>
        <w:t>阳性</w:t>
      </w:r>
      <w:r>
        <w:rPr>
          <w:rFonts w:eastAsia="仿宋_GB2312" w:hint="eastAsia"/>
          <w:sz w:val="32"/>
          <w:szCs w:val="32"/>
        </w:rPr>
        <w:t>、阴性</w:t>
      </w:r>
      <w:r>
        <w:rPr>
          <w:rFonts w:eastAsia="仿宋_GB2312"/>
          <w:sz w:val="32"/>
          <w:szCs w:val="32"/>
        </w:rPr>
        <w:t>符合率的临床可接受标准（</w:t>
      </w:r>
      <w:r>
        <w:rPr>
          <w:rFonts w:ascii="Times New Roman" w:eastAsia="仿宋_GB2312" w:hAnsi="Times New Roman" w:cs="Times New Roman"/>
          <w:sz w:val="32"/>
          <w:szCs w:val="32"/>
        </w:rPr>
        <w:t>P</w:t>
      </w:r>
      <w:r>
        <w:rPr>
          <w:rFonts w:ascii="Times New Roman" w:eastAsia="仿宋_GB2312" w:hAnsi="Times New Roman" w:cs="Times New Roman"/>
          <w:sz w:val="32"/>
          <w:szCs w:val="32"/>
          <w:vertAlign w:val="subscript"/>
        </w:rPr>
        <w:t>0</w:t>
      </w:r>
      <w:r>
        <w:rPr>
          <w:rFonts w:eastAsia="仿宋_GB2312"/>
          <w:sz w:val="32"/>
          <w:szCs w:val="32"/>
        </w:rPr>
        <w:t>）建议不低于</w:t>
      </w:r>
      <w:r>
        <w:rPr>
          <w:rFonts w:ascii="Times New Roman" w:eastAsia="仿宋_GB2312" w:hAnsi="Times New Roman" w:cs="Times New Roman"/>
          <w:sz w:val="32"/>
          <w:szCs w:val="32"/>
        </w:rPr>
        <w:t>90%</w:t>
      </w:r>
      <w:r>
        <w:rPr>
          <w:rFonts w:eastAsia="仿宋_GB2312"/>
          <w:sz w:val="32"/>
          <w:szCs w:val="32"/>
        </w:rPr>
        <w:t>。</w:t>
      </w:r>
      <w:proofErr w:type="gramStart"/>
      <w:r>
        <w:rPr>
          <w:rFonts w:eastAsia="仿宋_GB2312" w:hint="eastAsia"/>
          <w:sz w:val="32"/>
          <w:szCs w:val="32"/>
        </w:rPr>
        <w:t>阳性</w:t>
      </w:r>
      <w:r>
        <w:rPr>
          <w:rFonts w:eastAsia="仿宋_GB2312"/>
          <w:sz w:val="32"/>
          <w:szCs w:val="32"/>
        </w:rPr>
        <w:t>组</w:t>
      </w:r>
      <w:proofErr w:type="gramEnd"/>
      <w:r>
        <w:rPr>
          <w:rFonts w:eastAsia="仿宋_GB2312"/>
          <w:sz w:val="32"/>
          <w:szCs w:val="32"/>
        </w:rPr>
        <w:t>和阴性组均以</w:t>
      </w:r>
      <w:r>
        <w:rPr>
          <w:rFonts w:ascii="Times New Roman" w:eastAsia="仿宋_GB2312" w:hAnsi="Times New Roman" w:cs="Times New Roman"/>
          <w:sz w:val="32"/>
          <w:szCs w:val="32"/>
        </w:rPr>
        <w:t>IHC</w:t>
      </w:r>
      <w:r>
        <w:rPr>
          <w:rFonts w:eastAsia="仿宋_GB2312" w:hint="eastAsia"/>
          <w:sz w:val="32"/>
          <w:szCs w:val="32"/>
        </w:rPr>
        <w:t>检测结果</w:t>
      </w:r>
      <w:r>
        <w:rPr>
          <w:rFonts w:eastAsia="仿宋_GB2312"/>
          <w:sz w:val="32"/>
          <w:szCs w:val="32"/>
        </w:rPr>
        <w:t>为</w:t>
      </w:r>
      <w:r>
        <w:rPr>
          <w:rFonts w:ascii="Times New Roman" w:eastAsia="仿宋_GB2312" w:hAnsi="Times New Roman" w:cs="Times New Roman"/>
          <w:sz w:val="32"/>
          <w:szCs w:val="32"/>
        </w:rPr>
        <w:t>HER2</w:t>
      </w:r>
      <w:r>
        <w:rPr>
          <w:rFonts w:ascii="Times New Roman" w:eastAsia="仿宋_GB2312" w:hAnsi="Times New Roman" w:cs="Times New Roman"/>
          <w:sz w:val="32"/>
          <w:szCs w:val="32"/>
        </w:rPr>
        <w:t>（</w:t>
      </w:r>
      <w:r>
        <w:rPr>
          <w:rFonts w:ascii="Times New Roman" w:eastAsia="仿宋_GB2312" w:hAnsi="Times New Roman" w:cs="Times New Roman"/>
          <w:sz w:val="32"/>
          <w:szCs w:val="32"/>
        </w:rPr>
        <w:t>2+</w:t>
      </w:r>
      <w:r>
        <w:rPr>
          <w:rFonts w:eastAsia="仿宋_GB2312" w:hint="eastAsia"/>
          <w:sz w:val="32"/>
          <w:szCs w:val="32"/>
        </w:rPr>
        <w:t>）的</w:t>
      </w:r>
      <w:r>
        <w:rPr>
          <w:rFonts w:eastAsia="仿宋_GB2312"/>
          <w:sz w:val="32"/>
          <w:szCs w:val="32"/>
        </w:rPr>
        <w:t>样本</w:t>
      </w:r>
      <w:r>
        <w:rPr>
          <w:rFonts w:eastAsia="仿宋_GB2312" w:hint="eastAsia"/>
          <w:sz w:val="32"/>
          <w:szCs w:val="32"/>
        </w:rPr>
        <w:t>为</w:t>
      </w:r>
      <w:r>
        <w:rPr>
          <w:rFonts w:eastAsia="仿宋_GB2312"/>
          <w:sz w:val="32"/>
          <w:szCs w:val="32"/>
        </w:rPr>
        <w:t>主</w:t>
      </w:r>
      <w:r>
        <w:rPr>
          <w:rFonts w:eastAsia="仿宋_GB2312" w:hint="eastAsia"/>
          <w:sz w:val="32"/>
          <w:szCs w:val="32"/>
        </w:rPr>
        <w:t>。</w:t>
      </w:r>
    </w:p>
    <w:p w:rsidR="009A28FC" w:rsidRDefault="00401542">
      <w:pPr>
        <w:spacing w:line="520" w:lineRule="exact"/>
        <w:ind w:firstLineChars="200" w:firstLine="420"/>
        <w:jc w:val="right"/>
        <w:rPr>
          <w:rFonts w:eastAsia="仿宋_GB2312"/>
          <w:sz w:val="32"/>
          <w:szCs w:val="32"/>
        </w:rPr>
      </w:pPr>
      <w:r>
        <w:rPr>
          <w:noProof/>
        </w:rPr>
        <w:drawing>
          <wp:anchor distT="0" distB="0" distL="114300" distR="114300" simplePos="0" relativeHeight="251659264" behindDoc="0" locked="0" layoutInCell="1" allowOverlap="1">
            <wp:simplePos x="0" y="0"/>
            <wp:positionH relativeFrom="column">
              <wp:posOffset>1133475</wp:posOffset>
            </wp:positionH>
            <wp:positionV relativeFrom="paragraph">
              <wp:posOffset>136525</wp:posOffset>
            </wp:positionV>
            <wp:extent cx="3486150" cy="790575"/>
            <wp:effectExtent l="0" t="0" r="0" b="0"/>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3486150" cy="790575"/>
                    </a:xfrm>
                    <a:prstGeom prst="rect">
                      <a:avLst/>
                    </a:prstGeom>
                    <a:noFill/>
                    <a:ln>
                      <a:noFill/>
                    </a:ln>
                  </pic:spPr>
                </pic:pic>
              </a:graphicData>
            </a:graphic>
          </wp:anchor>
        </w:drawing>
      </w:r>
    </w:p>
    <w:p w:rsidR="009A28FC" w:rsidRDefault="009A28FC">
      <w:pPr>
        <w:spacing w:line="520" w:lineRule="exact"/>
        <w:ind w:right="640"/>
        <w:rPr>
          <w:rFonts w:eastAsia="仿宋_GB2312"/>
          <w:sz w:val="32"/>
          <w:szCs w:val="32"/>
        </w:rPr>
      </w:pPr>
    </w:p>
    <w:p w:rsidR="009A28FC" w:rsidRDefault="009A28FC">
      <w:pPr>
        <w:spacing w:line="520" w:lineRule="exact"/>
        <w:ind w:firstLineChars="200" w:firstLine="640"/>
        <w:rPr>
          <w:rFonts w:eastAsia="仿宋_GB2312"/>
          <w:sz w:val="32"/>
          <w:szCs w:val="32"/>
        </w:rPr>
      </w:pPr>
    </w:p>
    <w:p w:rsidR="009A28FC" w:rsidRDefault="00401542">
      <w:pPr>
        <w:spacing w:line="520" w:lineRule="exact"/>
        <w:ind w:firstLineChars="200" w:firstLine="640"/>
        <w:rPr>
          <w:rFonts w:eastAsia="仿宋_GB2312"/>
          <w:sz w:val="32"/>
          <w:szCs w:val="32"/>
        </w:rPr>
      </w:pPr>
      <w:r>
        <w:rPr>
          <w:rFonts w:eastAsia="仿宋_GB2312"/>
          <w:sz w:val="32"/>
          <w:szCs w:val="32"/>
        </w:rPr>
        <w:t>公式中，</w:t>
      </w:r>
      <w:r>
        <w:rPr>
          <w:rFonts w:ascii="Times New Roman" w:eastAsia="仿宋_GB2312" w:hAnsi="Times New Roman" w:cs="Times New Roman"/>
          <w:sz w:val="32"/>
          <w:szCs w:val="32"/>
        </w:rPr>
        <w:t>n</w:t>
      </w:r>
      <w:r>
        <w:rPr>
          <w:rFonts w:eastAsia="仿宋_GB2312"/>
          <w:sz w:val="32"/>
          <w:szCs w:val="32"/>
        </w:rPr>
        <w:t>为样本量；</w:t>
      </w:r>
      <w:r>
        <w:rPr>
          <w:rFonts w:ascii="Times New Roman" w:eastAsia="仿宋_GB2312" w:hAnsi="Times New Roman" w:cs="Times New Roman"/>
          <w:sz w:val="32"/>
          <w:szCs w:val="32"/>
        </w:rPr>
        <w:t>Z</w:t>
      </w:r>
      <w:r>
        <w:rPr>
          <w:rFonts w:ascii="Times New Roman" w:eastAsia="仿宋_GB2312" w:hAnsi="Times New Roman" w:cs="Times New Roman"/>
          <w:sz w:val="32"/>
          <w:szCs w:val="32"/>
          <w:vertAlign w:val="subscript"/>
        </w:rPr>
        <w:t>1-α/2</w:t>
      </w:r>
      <w:r>
        <w:rPr>
          <w:rFonts w:ascii="Times New Roman" w:eastAsia="仿宋_GB2312" w:hAnsi="Times New Roman" w:cs="Times New Roman"/>
          <w:sz w:val="32"/>
          <w:szCs w:val="32"/>
        </w:rPr>
        <w:t>、</w:t>
      </w:r>
      <w:r>
        <w:rPr>
          <w:rFonts w:ascii="Times New Roman" w:eastAsia="仿宋_GB2312" w:hAnsi="Times New Roman" w:cs="Times New Roman"/>
          <w:sz w:val="32"/>
          <w:szCs w:val="32"/>
        </w:rPr>
        <w:t>Z</w:t>
      </w:r>
      <w:r>
        <w:rPr>
          <w:rFonts w:ascii="Times New Roman" w:eastAsia="仿宋_GB2312" w:hAnsi="Times New Roman" w:cs="Times New Roman"/>
          <w:sz w:val="32"/>
          <w:szCs w:val="32"/>
          <w:vertAlign w:val="subscript"/>
        </w:rPr>
        <w:t>1-β</w:t>
      </w:r>
      <w:r>
        <w:rPr>
          <w:rFonts w:eastAsia="仿宋_GB2312"/>
          <w:sz w:val="32"/>
          <w:szCs w:val="32"/>
        </w:rPr>
        <w:t>为显著性水平和把握度的标准正态分布的分数位，</w:t>
      </w:r>
      <w:r>
        <w:rPr>
          <w:rFonts w:ascii="Times New Roman" w:eastAsia="仿宋_GB2312" w:hAnsi="Times New Roman" w:cs="Times New Roman"/>
          <w:sz w:val="32"/>
          <w:szCs w:val="32"/>
        </w:rPr>
        <w:t>P</w:t>
      </w:r>
      <w:r>
        <w:rPr>
          <w:rFonts w:ascii="Times New Roman" w:eastAsia="仿宋_GB2312" w:hAnsi="Times New Roman" w:cs="Times New Roman"/>
          <w:sz w:val="32"/>
          <w:szCs w:val="32"/>
          <w:vertAlign w:val="subscript"/>
        </w:rPr>
        <w:t>0</w:t>
      </w:r>
      <w:r>
        <w:rPr>
          <w:rFonts w:eastAsia="仿宋_GB2312"/>
          <w:sz w:val="32"/>
          <w:szCs w:val="32"/>
        </w:rPr>
        <w:t>为评价指标的临床可接受标准，</w:t>
      </w:r>
      <w:r>
        <w:rPr>
          <w:rFonts w:ascii="Times New Roman" w:eastAsia="仿宋_GB2312" w:hAnsi="Times New Roman" w:cs="Times New Roman"/>
          <w:sz w:val="32"/>
          <w:szCs w:val="32"/>
        </w:rPr>
        <w:t>P</w:t>
      </w:r>
      <w:r>
        <w:rPr>
          <w:rFonts w:ascii="Times New Roman" w:eastAsia="仿宋_GB2312" w:hAnsi="Times New Roman" w:cs="Times New Roman"/>
          <w:sz w:val="32"/>
          <w:szCs w:val="32"/>
          <w:vertAlign w:val="subscript"/>
        </w:rPr>
        <w:t>T</w:t>
      </w:r>
      <w:r>
        <w:rPr>
          <w:rFonts w:eastAsia="仿宋_GB2312"/>
          <w:sz w:val="32"/>
          <w:szCs w:val="32"/>
        </w:rPr>
        <w:t>为申报产品评价指标预期值。</w:t>
      </w:r>
    </w:p>
    <w:p w:rsidR="009A28FC" w:rsidRDefault="00401542">
      <w:pPr>
        <w:spacing w:line="520" w:lineRule="exact"/>
        <w:ind w:firstLineChars="200" w:firstLine="640"/>
        <w:rPr>
          <w:rFonts w:eastAsia="仿宋_GB2312"/>
          <w:sz w:val="32"/>
          <w:szCs w:val="32"/>
        </w:rPr>
      </w:pPr>
      <w:r>
        <w:rPr>
          <w:rFonts w:eastAsia="仿宋_GB2312" w:hint="eastAsia"/>
          <w:sz w:val="32"/>
          <w:szCs w:val="32"/>
        </w:rPr>
        <w:t>样本量估算过程中需要考虑临床试验中样本的剔除率，临床</w:t>
      </w:r>
      <w:r>
        <w:rPr>
          <w:rFonts w:eastAsia="仿宋_GB2312" w:hint="eastAsia"/>
          <w:sz w:val="32"/>
          <w:szCs w:val="32"/>
        </w:rPr>
        <w:lastRenderedPageBreak/>
        <w:t>试验样本量除需满足上述统计学估算的最低样本量要求外，还应保证入组病例覆盖受试者的各种特征。如临床试验研究有更合理的样本量估算方式，在说明其合理性后亦可采用。</w:t>
      </w:r>
    </w:p>
    <w:p w:rsidR="009A28FC" w:rsidRDefault="00401542">
      <w:pPr>
        <w:spacing w:line="520" w:lineRule="exact"/>
        <w:ind w:firstLineChars="200" w:firstLine="640"/>
        <w:rPr>
          <w:rFonts w:eastAsia="仿宋_GB2312"/>
          <w:color w:val="000000"/>
          <w:kern w:val="0"/>
          <w:sz w:val="32"/>
          <w:szCs w:val="32"/>
        </w:rPr>
      </w:pPr>
      <w:r>
        <w:rPr>
          <w:rFonts w:eastAsia="仿宋_GB2312"/>
          <w:color w:val="000000"/>
          <w:kern w:val="0"/>
          <w:sz w:val="32"/>
          <w:szCs w:val="32"/>
        </w:rPr>
        <w:t>如申报试剂声称可以用于</w:t>
      </w:r>
      <w:r>
        <w:rPr>
          <w:rFonts w:eastAsia="仿宋_GB2312" w:hint="eastAsia"/>
          <w:color w:val="000000"/>
          <w:kern w:val="0"/>
          <w:sz w:val="32"/>
          <w:szCs w:val="32"/>
        </w:rPr>
        <w:t>不同的</w:t>
      </w:r>
      <w:r>
        <w:rPr>
          <w:rFonts w:eastAsia="仿宋_GB2312"/>
          <w:color w:val="000000"/>
          <w:kern w:val="0"/>
          <w:sz w:val="32"/>
          <w:szCs w:val="32"/>
        </w:rPr>
        <w:t>肿瘤类型，</w:t>
      </w:r>
      <w:r>
        <w:rPr>
          <w:rFonts w:eastAsia="仿宋_GB2312"/>
          <w:sz w:val="32"/>
          <w:szCs w:val="32"/>
        </w:rPr>
        <w:t>则</w:t>
      </w:r>
      <w:r>
        <w:rPr>
          <w:rFonts w:eastAsia="仿宋_GB2312" w:hint="eastAsia"/>
          <w:sz w:val="32"/>
          <w:szCs w:val="32"/>
        </w:rPr>
        <w:t>针对不同适应证</w:t>
      </w:r>
      <w:r>
        <w:rPr>
          <w:rFonts w:eastAsia="仿宋_GB2312"/>
          <w:sz w:val="32"/>
          <w:szCs w:val="32"/>
        </w:rPr>
        <w:t>分别进行临床试验设计，包括分别进行相应的样本量估算。</w:t>
      </w:r>
      <w:r>
        <w:rPr>
          <w:rFonts w:eastAsia="仿宋_GB2312"/>
          <w:color w:val="000000"/>
          <w:kern w:val="0"/>
          <w:sz w:val="32"/>
          <w:szCs w:val="32"/>
        </w:rPr>
        <w:t>样本的选择应包含临床预期使用人群，注意包含</w:t>
      </w:r>
      <w:r>
        <w:rPr>
          <w:rFonts w:eastAsia="仿宋_GB2312"/>
          <w:color w:val="000000"/>
          <w:kern w:val="0"/>
          <w:sz w:val="32"/>
          <w:szCs w:val="32"/>
        </w:rPr>
        <w:t>临床相关的各种病理组织类型。</w:t>
      </w:r>
    </w:p>
    <w:p w:rsidR="009A28FC" w:rsidRDefault="00401542">
      <w:pPr>
        <w:spacing w:line="520" w:lineRule="exact"/>
        <w:ind w:firstLineChars="200" w:firstLine="640"/>
        <w:rPr>
          <w:rFonts w:eastAsia="仿宋_GB2312"/>
          <w:sz w:val="32"/>
          <w:szCs w:val="32"/>
        </w:rPr>
      </w:pPr>
      <w:r>
        <w:rPr>
          <w:rFonts w:ascii="Times New Roman" w:eastAsia="仿宋_GB2312" w:hAnsi="Times New Roman" w:cs="Times New Roman"/>
          <w:color w:val="000000"/>
          <w:kern w:val="0"/>
          <w:sz w:val="32"/>
          <w:szCs w:val="32"/>
        </w:rPr>
        <w:t>5.</w:t>
      </w:r>
      <w:r>
        <w:rPr>
          <w:rFonts w:eastAsia="仿宋_GB2312"/>
          <w:sz w:val="32"/>
          <w:szCs w:val="32"/>
        </w:rPr>
        <w:t>统计分析</w:t>
      </w:r>
    </w:p>
    <w:p w:rsidR="009A28FC" w:rsidRDefault="00401542">
      <w:pPr>
        <w:spacing w:line="520" w:lineRule="exact"/>
        <w:ind w:firstLineChars="200" w:firstLine="640"/>
        <w:contextualSpacing/>
        <w:rPr>
          <w:rFonts w:eastAsia="仿宋_GB2312"/>
          <w:color w:val="000000"/>
          <w:kern w:val="0"/>
          <w:sz w:val="32"/>
          <w:szCs w:val="32"/>
        </w:rPr>
      </w:pPr>
      <w:r>
        <w:rPr>
          <w:rFonts w:eastAsia="仿宋_GB2312" w:hint="eastAsia"/>
          <w:color w:val="000000"/>
          <w:kern w:val="0"/>
          <w:sz w:val="32"/>
          <w:szCs w:val="32"/>
        </w:rPr>
        <w:t>首先应</w:t>
      </w:r>
      <w:r>
        <w:rPr>
          <w:rFonts w:eastAsia="仿宋_GB2312"/>
          <w:color w:val="000000"/>
          <w:kern w:val="0"/>
          <w:sz w:val="32"/>
          <w:szCs w:val="32"/>
        </w:rPr>
        <w:t>对临床试验中人群基本特征进行分析，包括：年龄、性别、病理组织类型、癌症分期情况、免疫组织化学检测结果</w:t>
      </w:r>
      <w:r>
        <w:rPr>
          <w:rFonts w:eastAsia="仿宋_GB2312" w:hint="eastAsia"/>
          <w:color w:val="000000"/>
          <w:kern w:val="0"/>
          <w:sz w:val="32"/>
          <w:szCs w:val="32"/>
        </w:rPr>
        <w:t>等</w:t>
      </w:r>
      <w:r>
        <w:rPr>
          <w:rFonts w:eastAsia="仿宋_GB2312"/>
          <w:color w:val="000000"/>
          <w:kern w:val="0"/>
          <w:sz w:val="32"/>
          <w:szCs w:val="32"/>
        </w:rPr>
        <w:t>（</w:t>
      </w:r>
      <w:r>
        <w:rPr>
          <w:rFonts w:eastAsia="仿宋_GB2312" w:hint="eastAsia"/>
          <w:color w:val="000000"/>
          <w:kern w:val="0"/>
          <w:sz w:val="32"/>
          <w:szCs w:val="32"/>
        </w:rPr>
        <w:t>乳腺癌示例</w:t>
      </w:r>
      <w:r>
        <w:rPr>
          <w:rFonts w:eastAsia="仿宋_GB2312" w:hint="eastAsia"/>
          <w:color w:val="000000"/>
          <w:kern w:val="0"/>
          <w:sz w:val="32"/>
          <w:szCs w:val="32"/>
        </w:rPr>
        <w:t>见</w:t>
      </w:r>
      <w:r>
        <w:rPr>
          <w:rFonts w:eastAsia="仿宋_GB2312"/>
          <w:color w:val="000000"/>
          <w:kern w:val="0"/>
          <w:sz w:val="32"/>
          <w:szCs w:val="32"/>
        </w:rPr>
        <w:t>表</w:t>
      </w:r>
      <w:r>
        <w:rPr>
          <w:rFonts w:ascii="Times New Roman" w:eastAsia="仿宋_GB2312" w:hAnsi="Times New Roman" w:cs="Times New Roman"/>
          <w:color w:val="000000"/>
          <w:kern w:val="0"/>
          <w:sz w:val="32"/>
          <w:szCs w:val="32"/>
        </w:rPr>
        <w:t>1</w:t>
      </w:r>
      <w:r>
        <w:rPr>
          <w:rFonts w:eastAsia="仿宋_GB2312"/>
          <w:color w:val="000000"/>
          <w:kern w:val="0"/>
          <w:sz w:val="32"/>
          <w:szCs w:val="32"/>
        </w:rPr>
        <w:t>）</w:t>
      </w:r>
      <w:r>
        <w:rPr>
          <w:rFonts w:eastAsia="仿宋_GB2312" w:hint="eastAsia"/>
          <w:color w:val="000000"/>
          <w:kern w:val="0"/>
          <w:sz w:val="32"/>
          <w:szCs w:val="32"/>
        </w:rPr>
        <w:t>。如对于手术标本或活检标本均适用，应对各样本类型</w:t>
      </w:r>
      <w:r>
        <w:rPr>
          <w:rFonts w:eastAsia="仿宋_GB2312"/>
          <w:color w:val="000000"/>
          <w:kern w:val="0"/>
          <w:sz w:val="32"/>
          <w:szCs w:val="32"/>
        </w:rPr>
        <w:t>纳入</w:t>
      </w:r>
      <w:r>
        <w:rPr>
          <w:rFonts w:eastAsia="仿宋_GB2312" w:hint="eastAsia"/>
          <w:color w:val="000000"/>
          <w:kern w:val="0"/>
          <w:sz w:val="32"/>
          <w:szCs w:val="32"/>
        </w:rPr>
        <w:t>例数</w:t>
      </w:r>
      <w:r>
        <w:rPr>
          <w:rFonts w:eastAsia="仿宋_GB2312"/>
          <w:color w:val="000000"/>
          <w:kern w:val="0"/>
          <w:sz w:val="32"/>
          <w:szCs w:val="32"/>
        </w:rPr>
        <w:t>进行统计</w:t>
      </w:r>
      <w:r>
        <w:rPr>
          <w:rFonts w:eastAsia="仿宋_GB2312" w:hint="eastAsia"/>
          <w:color w:val="000000"/>
          <w:kern w:val="0"/>
          <w:sz w:val="32"/>
          <w:szCs w:val="32"/>
        </w:rPr>
        <w:t>。</w:t>
      </w:r>
      <w:r>
        <w:rPr>
          <w:rFonts w:eastAsia="仿宋_GB2312" w:hint="eastAsia"/>
          <w:color w:val="000000"/>
          <w:kern w:val="0"/>
          <w:sz w:val="32"/>
          <w:szCs w:val="32"/>
        </w:rPr>
        <w:t xml:space="preserve"> </w:t>
      </w:r>
    </w:p>
    <w:p w:rsidR="009A28FC" w:rsidRDefault="00401542">
      <w:pPr>
        <w:spacing w:line="520" w:lineRule="exact"/>
        <w:contextualSpacing/>
        <w:jc w:val="center"/>
        <w:rPr>
          <w:rFonts w:ascii="黑体" w:eastAsia="黑体" w:hAnsi="黑体"/>
          <w:color w:val="000000"/>
          <w:kern w:val="0"/>
          <w:sz w:val="28"/>
          <w:szCs w:val="28"/>
        </w:rPr>
      </w:pPr>
      <w:r>
        <w:rPr>
          <w:rFonts w:ascii="黑体" w:eastAsia="黑体" w:hAnsi="黑体" w:hint="eastAsia"/>
          <w:color w:val="000000"/>
          <w:kern w:val="0"/>
          <w:sz w:val="28"/>
          <w:szCs w:val="28"/>
        </w:rPr>
        <w:t>表</w:t>
      </w:r>
      <w:r>
        <w:rPr>
          <w:rFonts w:ascii="黑体" w:eastAsia="黑体" w:hAnsi="黑体"/>
          <w:color w:val="000000"/>
          <w:kern w:val="0"/>
          <w:sz w:val="28"/>
          <w:szCs w:val="28"/>
        </w:rPr>
        <w:t xml:space="preserve">1 </w:t>
      </w:r>
      <w:r>
        <w:rPr>
          <w:rFonts w:ascii="黑体" w:eastAsia="黑体" w:hAnsi="黑体" w:hint="eastAsia"/>
          <w:color w:val="000000"/>
          <w:kern w:val="0"/>
          <w:sz w:val="28"/>
          <w:szCs w:val="28"/>
        </w:rPr>
        <w:t>人群基本特征统计表</w:t>
      </w:r>
    </w:p>
    <w:tbl>
      <w:tblPr>
        <w:tblW w:w="861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26"/>
        <w:gridCol w:w="2754"/>
        <w:gridCol w:w="1215"/>
        <w:gridCol w:w="1559"/>
        <w:gridCol w:w="1559"/>
      </w:tblGrid>
      <w:tr w:rsidR="009A28FC">
        <w:trPr>
          <w:jc w:val="center"/>
        </w:trPr>
        <w:tc>
          <w:tcPr>
            <w:tcW w:w="1526" w:type="dxa"/>
            <w:vAlign w:val="center"/>
          </w:tcPr>
          <w:p w:rsidR="009A28FC" w:rsidRDefault="00401542">
            <w:pPr>
              <w:spacing w:line="400" w:lineRule="exact"/>
              <w:contextualSpacing/>
              <w:jc w:val="center"/>
              <w:rPr>
                <w:rFonts w:ascii="黑体" w:eastAsia="黑体" w:hAnsi="黑体"/>
                <w:color w:val="000000"/>
                <w:kern w:val="0"/>
                <w:sz w:val="28"/>
                <w:szCs w:val="28"/>
              </w:rPr>
            </w:pPr>
            <w:r>
              <w:rPr>
                <w:rFonts w:ascii="黑体" w:eastAsia="黑体" w:hAnsi="黑体" w:hint="eastAsia"/>
                <w:color w:val="000000"/>
                <w:kern w:val="0"/>
                <w:sz w:val="28"/>
                <w:szCs w:val="28"/>
              </w:rPr>
              <w:t>因素</w:t>
            </w:r>
          </w:p>
        </w:tc>
        <w:tc>
          <w:tcPr>
            <w:tcW w:w="2754" w:type="dxa"/>
            <w:vAlign w:val="center"/>
          </w:tcPr>
          <w:p w:rsidR="009A28FC" w:rsidRDefault="00401542">
            <w:pPr>
              <w:spacing w:line="400" w:lineRule="exact"/>
              <w:contextualSpacing/>
              <w:jc w:val="center"/>
              <w:rPr>
                <w:rFonts w:ascii="黑体" w:eastAsia="黑体" w:hAnsi="黑体"/>
                <w:color w:val="000000"/>
                <w:kern w:val="0"/>
                <w:sz w:val="28"/>
                <w:szCs w:val="28"/>
              </w:rPr>
            </w:pPr>
            <w:r>
              <w:rPr>
                <w:rFonts w:ascii="黑体" w:eastAsia="黑体" w:hAnsi="黑体" w:hint="eastAsia"/>
                <w:color w:val="000000"/>
                <w:kern w:val="0"/>
                <w:sz w:val="28"/>
                <w:szCs w:val="28"/>
              </w:rPr>
              <w:t>类别</w:t>
            </w:r>
          </w:p>
        </w:tc>
        <w:tc>
          <w:tcPr>
            <w:tcW w:w="1215" w:type="dxa"/>
            <w:vAlign w:val="center"/>
          </w:tcPr>
          <w:p w:rsidR="009A28FC" w:rsidRDefault="00401542">
            <w:pPr>
              <w:spacing w:line="400" w:lineRule="exact"/>
              <w:contextualSpacing/>
              <w:jc w:val="center"/>
              <w:rPr>
                <w:rFonts w:ascii="黑体" w:eastAsia="黑体" w:hAnsi="黑体"/>
                <w:color w:val="000000"/>
                <w:kern w:val="0"/>
                <w:sz w:val="28"/>
                <w:szCs w:val="28"/>
              </w:rPr>
            </w:pPr>
            <w:r>
              <w:rPr>
                <w:rFonts w:ascii="黑体" w:eastAsia="黑体" w:hAnsi="黑体" w:hint="eastAsia"/>
                <w:color w:val="000000"/>
                <w:kern w:val="0"/>
                <w:sz w:val="28"/>
                <w:szCs w:val="28"/>
              </w:rPr>
              <w:t>所占总数比例</w:t>
            </w:r>
          </w:p>
        </w:tc>
        <w:tc>
          <w:tcPr>
            <w:tcW w:w="1559" w:type="dxa"/>
            <w:vAlign w:val="center"/>
          </w:tcPr>
          <w:p w:rsidR="009A28FC" w:rsidRDefault="00401542">
            <w:pPr>
              <w:spacing w:line="400" w:lineRule="exact"/>
              <w:contextualSpacing/>
              <w:jc w:val="center"/>
              <w:rPr>
                <w:rFonts w:ascii="黑体" w:eastAsia="黑体" w:hAnsi="黑体"/>
                <w:color w:val="000000"/>
                <w:kern w:val="0"/>
                <w:sz w:val="28"/>
                <w:szCs w:val="28"/>
              </w:rPr>
            </w:pPr>
            <w:r>
              <w:rPr>
                <w:rFonts w:ascii="黑体" w:eastAsia="黑体" w:hAnsi="黑体" w:hint="eastAsia"/>
                <w:color w:val="000000"/>
                <w:kern w:val="0"/>
                <w:sz w:val="28"/>
                <w:szCs w:val="28"/>
              </w:rPr>
              <w:t>考核试剂阳性例数</w:t>
            </w:r>
          </w:p>
        </w:tc>
        <w:tc>
          <w:tcPr>
            <w:tcW w:w="1559" w:type="dxa"/>
            <w:vAlign w:val="center"/>
          </w:tcPr>
          <w:p w:rsidR="009A28FC" w:rsidRDefault="00401542">
            <w:pPr>
              <w:spacing w:line="400" w:lineRule="exact"/>
              <w:contextualSpacing/>
              <w:jc w:val="center"/>
              <w:rPr>
                <w:rFonts w:ascii="黑体" w:eastAsia="黑体" w:hAnsi="黑体"/>
                <w:color w:val="000000"/>
                <w:kern w:val="0"/>
                <w:sz w:val="28"/>
                <w:szCs w:val="28"/>
              </w:rPr>
            </w:pPr>
            <w:r>
              <w:rPr>
                <w:rFonts w:ascii="黑体" w:eastAsia="黑体" w:hAnsi="黑体" w:hint="eastAsia"/>
                <w:color w:val="000000"/>
                <w:kern w:val="0"/>
                <w:sz w:val="28"/>
                <w:szCs w:val="28"/>
              </w:rPr>
              <w:t>对比试剂阳性例数</w:t>
            </w:r>
          </w:p>
        </w:tc>
      </w:tr>
      <w:tr w:rsidR="009A28FC">
        <w:trPr>
          <w:jc w:val="center"/>
        </w:trPr>
        <w:tc>
          <w:tcPr>
            <w:tcW w:w="1526" w:type="dxa"/>
            <w:vMerge w:val="restart"/>
          </w:tcPr>
          <w:p w:rsidR="009A28FC" w:rsidRDefault="00401542">
            <w:pPr>
              <w:spacing w:line="400" w:lineRule="exact"/>
              <w:contextualSpacing/>
              <w:rPr>
                <w:rFonts w:eastAsia="仿宋_GB2312"/>
                <w:color w:val="000000"/>
                <w:kern w:val="0"/>
                <w:sz w:val="28"/>
                <w:szCs w:val="28"/>
              </w:rPr>
            </w:pPr>
            <w:r>
              <w:rPr>
                <w:rFonts w:eastAsia="仿宋_GB2312" w:hint="eastAsia"/>
                <w:color w:val="000000"/>
                <w:kern w:val="0"/>
                <w:sz w:val="28"/>
                <w:szCs w:val="28"/>
              </w:rPr>
              <w:t>性别</w:t>
            </w:r>
          </w:p>
        </w:tc>
        <w:tc>
          <w:tcPr>
            <w:tcW w:w="2754" w:type="dxa"/>
          </w:tcPr>
          <w:p w:rsidR="009A28FC" w:rsidRDefault="00401542">
            <w:pPr>
              <w:spacing w:line="400" w:lineRule="exact"/>
              <w:contextualSpacing/>
              <w:rPr>
                <w:rFonts w:eastAsia="仿宋_GB2312"/>
                <w:color w:val="000000"/>
                <w:kern w:val="0"/>
                <w:sz w:val="28"/>
                <w:szCs w:val="28"/>
              </w:rPr>
            </w:pPr>
            <w:r>
              <w:rPr>
                <w:rFonts w:eastAsia="仿宋_GB2312" w:hint="eastAsia"/>
                <w:color w:val="000000"/>
                <w:kern w:val="0"/>
                <w:sz w:val="28"/>
                <w:szCs w:val="28"/>
              </w:rPr>
              <w:t>男性</w:t>
            </w:r>
          </w:p>
        </w:tc>
        <w:tc>
          <w:tcPr>
            <w:tcW w:w="1215" w:type="dxa"/>
          </w:tcPr>
          <w:p w:rsidR="009A28FC" w:rsidRDefault="009A28FC">
            <w:pPr>
              <w:spacing w:line="400" w:lineRule="exact"/>
              <w:contextualSpacing/>
              <w:rPr>
                <w:rFonts w:eastAsia="仿宋_GB2312"/>
                <w:color w:val="000000"/>
                <w:kern w:val="0"/>
                <w:sz w:val="28"/>
                <w:szCs w:val="28"/>
              </w:rPr>
            </w:pPr>
          </w:p>
        </w:tc>
        <w:tc>
          <w:tcPr>
            <w:tcW w:w="1559" w:type="dxa"/>
          </w:tcPr>
          <w:p w:rsidR="009A28FC" w:rsidRDefault="009A28FC">
            <w:pPr>
              <w:spacing w:line="400" w:lineRule="exact"/>
              <w:contextualSpacing/>
              <w:rPr>
                <w:rFonts w:eastAsia="仿宋_GB2312"/>
                <w:color w:val="000000"/>
                <w:kern w:val="0"/>
                <w:sz w:val="28"/>
                <w:szCs w:val="28"/>
              </w:rPr>
            </w:pPr>
          </w:p>
        </w:tc>
        <w:tc>
          <w:tcPr>
            <w:tcW w:w="1559" w:type="dxa"/>
          </w:tcPr>
          <w:p w:rsidR="009A28FC" w:rsidRDefault="009A28FC">
            <w:pPr>
              <w:spacing w:line="400" w:lineRule="exact"/>
              <w:contextualSpacing/>
              <w:rPr>
                <w:rFonts w:eastAsia="仿宋_GB2312"/>
                <w:color w:val="000000"/>
                <w:kern w:val="0"/>
                <w:sz w:val="28"/>
                <w:szCs w:val="28"/>
              </w:rPr>
            </w:pPr>
          </w:p>
        </w:tc>
      </w:tr>
      <w:tr w:rsidR="009A28FC">
        <w:trPr>
          <w:jc w:val="center"/>
        </w:trPr>
        <w:tc>
          <w:tcPr>
            <w:tcW w:w="1526" w:type="dxa"/>
            <w:vMerge/>
          </w:tcPr>
          <w:p w:rsidR="009A28FC" w:rsidRDefault="009A28FC">
            <w:pPr>
              <w:spacing w:line="400" w:lineRule="exact"/>
              <w:contextualSpacing/>
              <w:rPr>
                <w:rFonts w:eastAsia="仿宋_GB2312"/>
                <w:color w:val="000000"/>
                <w:kern w:val="0"/>
                <w:sz w:val="28"/>
                <w:szCs w:val="28"/>
              </w:rPr>
            </w:pPr>
          </w:p>
        </w:tc>
        <w:tc>
          <w:tcPr>
            <w:tcW w:w="2754" w:type="dxa"/>
          </w:tcPr>
          <w:p w:rsidR="009A28FC" w:rsidRDefault="00401542">
            <w:pPr>
              <w:spacing w:line="400" w:lineRule="exact"/>
              <w:contextualSpacing/>
              <w:rPr>
                <w:rFonts w:eastAsia="仿宋_GB2312"/>
                <w:color w:val="000000"/>
                <w:kern w:val="0"/>
                <w:sz w:val="28"/>
                <w:szCs w:val="28"/>
              </w:rPr>
            </w:pPr>
            <w:r>
              <w:rPr>
                <w:rFonts w:eastAsia="仿宋_GB2312" w:hint="eastAsia"/>
                <w:color w:val="000000"/>
                <w:kern w:val="0"/>
                <w:sz w:val="28"/>
                <w:szCs w:val="28"/>
              </w:rPr>
              <w:t>女性</w:t>
            </w:r>
          </w:p>
        </w:tc>
        <w:tc>
          <w:tcPr>
            <w:tcW w:w="1215" w:type="dxa"/>
          </w:tcPr>
          <w:p w:rsidR="009A28FC" w:rsidRDefault="009A28FC">
            <w:pPr>
              <w:spacing w:line="400" w:lineRule="exact"/>
              <w:contextualSpacing/>
              <w:rPr>
                <w:rFonts w:eastAsia="仿宋_GB2312"/>
                <w:color w:val="000000"/>
                <w:kern w:val="0"/>
                <w:sz w:val="28"/>
                <w:szCs w:val="28"/>
              </w:rPr>
            </w:pPr>
          </w:p>
        </w:tc>
        <w:tc>
          <w:tcPr>
            <w:tcW w:w="1559" w:type="dxa"/>
          </w:tcPr>
          <w:p w:rsidR="009A28FC" w:rsidRDefault="009A28FC">
            <w:pPr>
              <w:spacing w:line="400" w:lineRule="exact"/>
              <w:contextualSpacing/>
              <w:rPr>
                <w:rFonts w:eastAsia="仿宋_GB2312"/>
                <w:color w:val="000000"/>
                <w:kern w:val="0"/>
                <w:sz w:val="28"/>
                <w:szCs w:val="28"/>
              </w:rPr>
            </w:pPr>
          </w:p>
        </w:tc>
        <w:tc>
          <w:tcPr>
            <w:tcW w:w="1559" w:type="dxa"/>
          </w:tcPr>
          <w:p w:rsidR="009A28FC" w:rsidRDefault="009A28FC">
            <w:pPr>
              <w:spacing w:line="400" w:lineRule="exact"/>
              <w:contextualSpacing/>
              <w:rPr>
                <w:rFonts w:eastAsia="仿宋_GB2312"/>
                <w:color w:val="000000"/>
                <w:kern w:val="0"/>
                <w:sz w:val="28"/>
                <w:szCs w:val="28"/>
              </w:rPr>
            </w:pPr>
          </w:p>
        </w:tc>
      </w:tr>
      <w:tr w:rsidR="009A28FC">
        <w:trPr>
          <w:jc w:val="center"/>
        </w:trPr>
        <w:tc>
          <w:tcPr>
            <w:tcW w:w="1526" w:type="dxa"/>
            <w:vMerge w:val="restart"/>
          </w:tcPr>
          <w:p w:rsidR="009A28FC" w:rsidRDefault="00401542">
            <w:pPr>
              <w:spacing w:line="400" w:lineRule="exact"/>
              <w:contextualSpacing/>
              <w:rPr>
                <w:rFonts w:eastAsia="仿宋_GB2312"/>
                <w:color w:val="000000"/>
                <w:kern w:val="0"/>
                <w:sz w:val="28"/>
                <w:szCs w:val="28"/>
              </w:rPr>
            </w:pPr>
            <w:r>
              <w:rPr>
                <w:rFonts w:eastAsia="仿宋_GB2312" w:hint="eastAsia"/>
                <w:color w:val="000000"/>
                <w:kern w:val="0"/>
                <w:sz w:val="28"/>
                <w:szCs w:val="28"/>
              </w:rPr>
              <w:t>年龄</w:t>
            </w:r>
          </w:p>
        </w:tc>
        <w:tc>
          <w:tcPr>
            <w:tcW w:w="2754" w:type="dxa"/>
          </w:tcPr>
          <w:p w:rsidR="009A28FC" w:rsidRDefault="00401542">
            <w:pPr>
              <w:spacing w:line="400" w:lineRule="exact"/>
              <w:contextualSpacing/>
              <w:rPr>
                <w:rFonts w:eastAsia="仿宋_GB2312"/>
                <w:color w:val="000000"/>
                <w:kern w:val="0"/>
                <w:sz w:val="28"/>
                <w:szCs w:val="28"/>
              </w:rPr>
            </w:pPr>
            <w:r>
              <w:rPr>
                <w:rFonts w:ascii="Times New Roman" w:eastAsia="仿宋_GB2312" w:hAnsi="Times New Roman" w:cs="Times New Roman"/>
                <w:color w:val="000000"/>
                <w:kern w:val="0"/>
                <w:sz w:val="28"/>
                <w:szCs w:val="28"/>
              </w:rPr>
              <w:t>50</w:t>
            </w:r>
            <w:r>
              <w:rPr>
                <w:rFonts w:eastAsia="仿宋_GB2312" w:hint="eastAsia"/>
                <w:color w:val="000000"/>
                <w:kern w:val="0"/>
                <w:sz w:val="28"/>
                <w:szCs w:val="28"/>
              </w:rPr>
              <w:t>岁以下</w:t>
            </w:r>
          </w:p>
        </w:tc>
        <w:tc>
          <w:tcPr>
            <w:tcW w:w="1215" w:type="dxa"/>
          </w:tcPr>
          <w:p w:rsidR="009A28FC" w:rsidRDefault="009A28FC">
            <w:pPr>
              <w:spacing w:line="400" w:lineRule="exact"/>
              <w:contextualSpacing/>
              <w:rPr>
                <w:rFonts w:eastAsia="仿宋_GB2312"/>
                <w:color w:val="000000"/>
                <w:kern w:val="0"/>
                <w:sz w:val="28"/>
                <w:szCs w:val="28"/>
              </w:rPr>
            </w:pPr>
          </w:p>
        </w:tc>
        <w:tc>
          <w:tcPr>
            <w:tcW w:w="1559" w:type="dxa"/>
          </w:tcPr>
          <w:p w:rsidR="009A28FC" w:rsidRDefault="009A28FC">
            <w:pPr>
              <w:spacing w:line="400" w:lineRule="exact"/>
              <w:contextualSpacing/>
              <w:rPr>
                <w:rFonts w:eastAsia="仿宋_GB2312"/>
                <w:color w:val="000000"/>
                <w:kern w:val="0"/>
                <w:sz w:val="28"/>
                <w:szCs w:val="28"/>
              </w:rPr>
            </w:pPr>
          </w:p>
        </w:tc>
        <w:tc>
          <w:tcPr>
            <w:tcW w:w="1559" w:type="dxa"/>
          </w:tcPr>
          <w:p w:rsidR="009A28FC" w:rsidRDefault="009A28FC">
            <w:pPr>
              <w:spacing w:line="400" w:lineRule="exact"/>
              <w:contextualSpacing/>
              <w:rPr>
                <w:rFonts w:eastAsia="仿宋_GB2312"/>
                <w:color w:val="000000"/>
                <w:kern w:val="0"/>
                <w:sz w:val="28"/>
                <w:szCs w:val="28"/>
              </w:rPr>
            </w:pPr>
          </w:p>
        </w:tc>
      </w:tr>
      <w:tr w:rsidR="009A28FC">
        <w:trPr>
          <w:jc w:val="center"/>
        </w:trPr>
        <w:tc>
          <w:tcPr>
            <w:tcW w:w="1526" w:type="dxa"/>
            <w:vMerge/>
          </w:tcPr>
          <w:p w:rsidR="009A28FC" w:rsidRDefault="009A28FC">
            <w:pPr>
              <w:spacing w:line="400" w:lineRule="exact"/>
              <w:contextualSpacing/>
              <w:rPr>
                <w:rFonts w:eastAsia="仿宋_GB2312"/>
                <w:color w:val="000000"/>
                <w:kern w:val="0"/>
                <w:sz w:val="28"/>
                <w:szCs w:val="28"/>
              </w:rPr>
            </w:pPr>
          </w:p>
        </w:tc>
        <w:tc>
          <w:tcPr>
            <w:tcW w:w="2754" w:type="dxa"/>
          </w:tcPr>
          <w:p w:rsidR="009A28FC" w:rsidRDefault="00401542">
            <w:pPr>
              <w:spacing w:line="400" w:lineRule="exact"/>
              <w:contextualSpacing/>
              <w:rPr>
                <w:rFonts w:eastAsia="仿宋_GB2312"/>
                <w:color w:val="000000"/>
                <w:kern w:val="0"/>
                <w:sz w:val="28"/>
                <w:szCs w:val="28"/>
              </w:rPr>
            </w:pPr>
            <w:r>
              <w:rPr>
                <w:rFonts w:ascii="Times New Roman" w:eastAsia="仿宋_GB2312" w:hAnsi="Times New Roman" w:cs="Times New Roman"/>
                <w:color w:val="000000"/>
                <w:kern w:val="0"/>
                <w:sz w:val="28"/>
                <w:szCs w:val="28"/>
              </w:rPr>
              <w:t>50</w:t>
            </w:r>
            <w:r>
              <w:rPr>
                <w:rFonts w:eastAsia="仿宋_GB2312" w:hint="eastAsia"/>
                <w:color w:val="000000"/>
                <w:kern w:val="0"/>
                <w:sz w:val="28"/>
                <w:szCs w:val="28"/>
              </w:rPr>
              <w:t>—</w:t>
            </w:r>
            <w:r>
              <w:rPr>
                <w:rFonts w:ascii="Times New Roman" w:eastAsia="仿宋_GB2312" w:hAnsi="Times New Roman" w:cs="Times New Roman"/>
                <w:color w:val="000000"/>
                <w:kern w:val="0"/>
                <w:sz w:val="28"/>
                <w:szCs w:val="28"/>
              </w:rPr>
              <w:t>59</w:t>
            </w:r>
            <w:r>
              <w:rPr>
                <w:rFonts w:eastAsia="仿宋_GB2312" w:hint="eastAsia"/>
                <w:color w:val="000000"/>
                <w:kern w:val="0"/>
                <w:sz w:val="28"/>
                <w:szCs w:val="28"/>
              </w:rPr>
              <w:t>岁</w:t>
            </w:r>
          </w:p>
        </w:tc>
        <w:tc>
          <w:tcPr>
            <w:tcW w:w="1215" w:type="dxa"/>
          </w:tcPr>
          <w:p w:rsidR="009A28FC" w:rsidRDefault="009A28FC">
            <w:pPr>
              <w:spacing w:line="400" w:lineRule="exact"/>
              <w:contextualSpacing/>
              <w:rPr>
                <w:rFonts w:eastAsia="仿宋_GB2312"/>
                <w:color w:val="000000"/>
                <w:kern w:val="0"/>
                <w:sz w:val="28"/>
                <w:szCs w:val="28"/>
              </w:rPr>
            </w:pPr>
          </w:p>
        </w:tc>
        <w:tc>
          <w:tcPr>
            <w:tcW w:w="1559" w:type="dxa"/>
          </w:tcPr>
          <w:p w:rsidR="009A28FC" w:rsidRDefault="009A28FC">
            <w:pPr>
              <w:spacing w:line="400" w:lineRule="exact"/>
              <w:contextualSpacing/>
              <w:rPr>
                <w:rFonts w:eastAsia="仿宋_GB2312"/>
                <w:color w:val="000000"/>
                <w:kern w:val="0"/>
                <w:sz w:val="28"/>
                <w:szCs w:val="28"/>
              </w:rPr>
            </w:pPr>
          </w:p>
        </w:tc>
        <w:tc>
          <w:tcPr>
            <w:tcW w:w="1559" w:type="dxa"/>
          </w:tcPr>
          <w:p w:rsidR="009A28FC" w:rsidRDefault="009A28FC">
            <w:pPr>
              <w:spacing w:line="400" w:lineRule="exact"/>
              <w:contextualSpacing/>
              <w:rPr>
                <w:rFonts w:eastAsia="仿宋_GB2312"/>
                <w:color w:val="000000"/>
                <w:kern w:val="0"/>
                <w:sz w:val="28"/>
                <w:szCs w:val="28"/>
              </w:rPr>
            </w:pPr>
          </w:p>
        </w:tc>
      </w:tr>
      <w:tr w:rsidR="009A28FC">
        <w:trPr>
          <w:jc w:val="center"/>
        </w:trPr>
        <w:tc>
          <w:tcPr>
            <w:tcW w:w="1526" w:type="dxa"/>
            <w:vMerge/>
          </w:tcPr>
          <w:p w:rsidR="009A28FC" w:rsidRDefault="009A28FC">
            <w:pPr>
              <w:spacing w:line="400" w:lineRule="exact"/>
              <w:contextualSpacing/>
              <w:rPr>
                <w:rFonts w:eastAsia="仿宋_GB2312"/>
                <w:color w:val="000000"/>
                <w:kern w:val="0"/>
                <w:sz w:val="28"/>
                <w:szCs w:val="28"/>
              </w:rPr>
            </w:pPr>
          </w:p>
        </w:tc>
        <w:tc>
          <w:tcPr>
            <w:tcW w:w="2754" w:type="dxa"/>
          </w:tcPr>
          <w:p w:rsidR="009A28FC" w:rsidRDefault="00401542">
            <w:pPr>
              <w:spacing w:line="400" w:lineRule="exact"/>
              <w:contextualSpacing/>
              <w:rPr>
                <w:rFonts w:eastAsia="仿宋_GB2312"/>
                <w:color w:val="000000"/>
                <w:kern w:val="0"/>
                <w:sz w:val="28"/>
                <w:szCs w:val="28"/>
              </w:rPr>
            </w:pPr>
            <w:r>
              <w:rPr>
                <w:rFonts w:ascii="Times New Roman" w:eastAsia="仿宋_GB2312" w:hAnsi="Times New Roman" w:cs="Times New Roman"/>
                <w:color w:val="000000"/>
                <w:kern w:val="0"/>
                <w:sz w:val="28"/>
                <w:szCs w:val="28"/>
              </w:rPr>
              <w:t>60</w:t>
            </w:r>
            <w:r>
              <w:rPr>
                <w:rFonts w:eastAsia="仿宋_GB2312" w:hint="eastAsia"/>
                <w:color w:val="000000"/>
                <w:kern w:val="0"/>
                <w:sz w:val="28"/>
                <w:szCs w:val="28"/>
              </w:rPr>
              <w:t>—</w:t>
            </w:r>
            <w:r>
              <w:rPr>
                <w:rFonts w:ascii="Times New Roman" w:eastAsia="仿宋_GB2312" w:hAnsi="Times New Roman" w:cs="Times New Roman"/>
                <w:color w:val="000000"/>
                <w:kern w:val="0"/>
                <w:sz w:val="28"/>
                <w:szCs w:val="28"/>
              </w:rPr>
              <w:t>69</w:t>
            </w:r>
            <w:r>
              <w:rPr>
                <w:rFonts w:eastAsia="仿宋_GB2312" w:hint="eastAsia"/>
                <w:color w:val="000000"/>
                <w:kern w:val="0"/>
                <w:sz w:val="28"/>
                <w:szCs w:val="28"/>
              </w:rPr>
              <w:t>岁</w:t>
            </w:r>
          </w:p>
        </w:tc>
        <w:tc>
          <w:tcPr>
            <w:tcW w:w="1215" w:type="dxa"/>
          </w:tcPr>
          <w:p w:rsidR="009A28FC" w:rsidRDefault="009A28FC">
            <w:pPr>
              <w:spacing w:line="400" w:lineRule="exact"/>
              <w:contextualSpacing/>
              <w:rPr>
                <w:rFonts w:eastAsia="仿宋_GB2312"/>
                <w:color w:val="000000"/>
                <w:kern w:val="0"/>
                <w:sz w:val="28"/>
                <w:szCs w:val="28"/>
              </w:rPr>
            </w:pPr>
          </w:p>
        </w:tc>
        <w:tc>
          <w:tcPr>
            <w:tcW w:w="1559" w:type="dxa"/>
          </w:tcPr>
          <w:p w:rsidR="009A28FC" w:rsidRDefault="009A28FC">
            <w:pPr>
              <w:spacing w:line="400" w:lineRule="exact"/>
              <w:contextualSpacing/>
              <w:rPr>
                <w:rFonts w:eastAsia="仿宋_GB2312"/>
                <w:color w:val="000000"/>
                <w:kern w:val="0"/>
                <w:sz w:val="28"/>
                <w:szCs w:val="28"/>
              </w:rPr>
            </w:pPr>
          </w:p>
        </w:tc>
        <w:tc>
          <w:tcPr>
            <w:tcW w:w="1559" w:type="dxa"/>
          </w:tcPr>
          <w:p w:rsidR="009A28FC" w:rsidRDefault="009A28FC">
            <w:pPr>
              <w:spacing w:line="400" w:lineRule="exact"/>
              <w:contextualSpacing/>
              <w:rPr>
                <w:rFonts w:eastAsia="仿宋_GB2312"/>
                <w:color w:val="000000"/>
                <w:kern w:val="0"/>
                <w:sz w:val="28"/>
                <w:szCs w:val="28"/>
              </w:rPr>
            </w:pPr>
          </w:p>
        </w:tc>
      </w:tr>
      <w:tr w:rsidR="009A28FC">
        <w:trPr>
          <w:jc w:val="center"/>
        </w:trPr>
        <w:tc>
          <w:tcPr>
            <w:tcW w:w="1526" w:type="dxa"/>
            <w:vMerge/>
          </w:tcPr>
          <w:p w:rsidR="009A28FC" w:rsidRDefault="009A28FC">
            <w:pPr>
              <w:spacing w:line="400" w:lineRule="exact"/>
              <w:contextualSpacing/>
              <w:rPr>
                <w:rFonts w:eastAsia="仿宋_GB2312"/>
                <w:color w:val="000000"/>
                <w:kern w:val="0"/>
                <w:sz w:val="28"/>
                <w:szCs w:val="28"/>
              </w:rPr>
            </w:pPr>
          </w:p>
        </w:tc>
        <w:tc>
          <w:tcPr>
            <w:tcW w:w="2754" w:type="dxa"/>
          </w:tcPr>
          <w:p w:rsidR="009A28FC" w:rsidRDefault="00401542">
            <w:pPr>
              <w:spacing w:line="400" w:lineRule="exact"/>
              <w:contextualSpacing/>
              <w:rPr>
                <w:rFonts w:eastAsia="仿宋_GB2312"/>
                <w:color w:val="000000"/>
                <w:kern w:val="0"/>
                <w:sz w:val="28"/>
                <w:szCs w:val="28"/>
              </w:rPr>
            </w:pPr>
            <w:r>
              <w:rPr>
                <w:rFonts w:ascii="Times New Roman" w:eastAsia="仿宋_GB2312" w:hAnsi="Times New Roman" w:cs="Times New Roman"/>
                <w:color w:val="000000"/>
                <w:kern w:val="0"/>
                <w:sz w:val="28"/>
                <w:szCs w:val="28"/>
              </w:rPr>
              <w:t>69</w:t>
            </w:r>
            <w:r>
              <w:rPr>
                <w:rFonts w:eastAsia="仿宋_GB2312" w:hint="eastAsia"/>
                <w:color w:val="000000"/>
                <w:kern w:val="0"/>
                <w:sz w:val="28"/>
                <w:szCs w:val="28"/>
              </w:rPr>
              <w:t>岁以上</w:t>
            </w:r>
          </w:p>
        </w:tc>
        <w:tc>
          <w:tcPr>
            <w:tcW w:w="1215" w:type="dxa"/>
          </w:tcPr>
          <w:p w:rsidR="009A28FC" w:rsidRDefault="009A28FC">
            <w:pPr>
              <w:spacing w:line="400" w:lineRule="exact"/>
              <w:contextualSpacing/>
              <w:rPr>
                <w:rFonts w:eastAsia="仿宋_GB2312"/>
                <w:color w:val="000000"/>
                <w:kern w:val="0"/>
                <w:sz w:val="28"/>
                <w:szCs w:val="28"/>
              </w:rPr>
            </w:pPr>
          </w:p>
        </w:tc>
        <w:tc>
          <w:tcPr>
            <w:tcW w:w="1559" w:type="dxa"/>
          </w:tcPr>
          <w:p w:rsidR="009A28FC" w:rsidRDefault="009A28FC">
            <w:pPr>
              <w:spacing w:line="400" w:lineRule="exact"/>
              <w:contextualSpacing/>
              <w:rPr>
                <w:rFonts w:eastAsia="仿宋_GB2312"/>
                <w:color w:val="000000"/>
                <w:kern w:val="0"/>
                <w:sz w:val="28"/>
                <w:szCs w:val="28"/>
              </w:rPr>
            </w:pPr>
          </w:p>
        </w:tc>
        <w:tc>
          <w:tcPr>
            <w:tcW w:w="1559" w:type="dxa"/>
          </w:tcPr>
          <w:p w:rsidR="009A28FC" w:rsidRDefault="009A28FC">
            <w:pPr>
              <w:spacing w:line="400" w:lineRule="exact"/>
              <w:contextualSpacing/>
              <w:rPr>
                <w:rFonts w:eastAsia="仿宋_GB2312"/>
                <w:color w:val="000000"/>
                <w:kern w:val="0"/>
                <w:sz w:val="28"/>
                <w:szCs w:val="28"/>
              </w:rPr>
            </w:pPr>
          </w:p>
        </w:tc>
      </w:tr>
      <w:tr w:rsidR="009A28FC">
        <w:trPr>
          <w:jc w:val="center"/>
        </w:trPr>
        <w:tc>
          <w:tcPr>
            <w:tcW w:w="1526" w:type="dxa"/>
            <w:vMerge w:val="restart"/>
          </w:tcPr>
          <w:p w:rsidR="009A28FC" w:rsidRDefault="00401542">
            <w:pPr>
              <w:spacing w:line="400" w:lineRule="exact"/>
              <w:contextualSpacing/>
              <w:rPr>
                <w:rFonts w:eastAsia="仿宋_GB2312"/>
                <w:color w:val="000000"/>
                <w:kern w:val="0"/>
                <w:sz w:val="28"/>
                <w:szCs w:val="28"/>
              </w:rPr>
            </w:pPr>
            <w:r>
              <w:rPr>
                <w:rFonts w:eastAsia="仿宋_GB2312" w:hint="eastAsia"/>
                <w:color w:val="000000"/>
                <w:kern w:val="0"/>
                <w:sz w:val="28"/>
                <w:szCs w:val="28"/>
              </w:rPr>
              <w:t>组织类型</w:t>
            </w:r>
          </w:p>
        </w:tc>
        <w:tc>
          <w:tcPr>
            <w:tcW w:w="2754" w:type="dxa"/>
          </w:tcPr>
          <w:p w:rsidR="009A28FC" w:rsidRDefault="00401542">
            <w:pPr>
              <w:spacing w:line="400" w:lineRule="exact"/>
              <w:contextualSpacing/>
              <w:rPr>
                <w:rFonts w:eastAsia="仿宋_GB2312"/>
                <w:color w:val="000000"/>
                <w:kern w:val="0"/>
                <w:sz w:val="28"/>
                <w:szCs w:val="28"/>
              </w:rPr>
            </w:pPr>
            <w:r>
              <w:rPr>
                <w:rFonts w:eastAsia="仿宋_GB2312" w:hint="eastAsia"/>
                <w:color w:val="000000"/>
                <w:kern w:val="0"/>
                <w:sz w:val="28"/>
                <w:szCs w:val="28"/>
              </w:rPr>
              <w:t>乳腺浸润性导管癌</w:t>
            </w:r>
          </w:p>
        </w:tc>
        <w:tc>
          <w:tcPr>
            <w:tcW w:w="1215" w:type="dxa"/>
          </w:tcPr>
          <w:p w:rsidR="009A28FC" w:rsidRDefault="009A28FC">
            <w:pPr>
              <w:spacing w:line="400" w:lineRule="exact"/>
              <w:contextualSpacing/>
              <w:rPr>
                <w:rFonts w:eastAsia="仿宋_GB2312"/>
                <w:color w:val="000000"/>
                <w:kern w:val="0"/>
                <w:sz w:val="28"/>
                <w:szCs w:val="28"/>
              </w:rPr>
            </w:pPr>
          </w:p>
        </w:tc>
        <w:tc>
          <w:tcPr>
            <w:tcW w:w="1559" w:type="dxa"/>
          </w:tcPr>
          <w:p w:rsidR="009A28FC" w:rsidRDefault="009A28FC">
            <w:pPr>
              <w:spacing w:line="400" w:lineRule="exact"/>
              <w:contextualSpacing/>
              <w:rPr>
                <w:rFonts w:eastAsia="仿宋_GB2312"/>
                <w:color w:val="000000"/>
                <w:kern w:val="0"/>
                <w:sz w:val="28"/>
                <w:szCs w:val="28"/>
              </w:rPr>
            </w:pPr>
          </w:p>
        </w:tc>
        <w:tc>
          <w:tcPr>
            <w:tcW w:w="1559" w:type="dxa"/>
          </w:tcPr>
          <w:p w:rsidR="009A28FC" w:rsidRDefault="009A28FC">
            <w:pPr>
              <w:spacing w:line="400" w:lineRule="exact"/>
              <w:contextualSpacing/>
              <w:rPr>
                <w:rFonts w:eastAsia="仿宋_GB2312"/>
                <w:color w:val="000000"/>
                <w:kern w:val="0"/>
                <w:sz w:val="28"/>
                <w:szCs w:val="28"/>
              </w:rPr>
            </w:pPr>
          </w:p>
        </w:tc>
      </w:tr>
      <w:tr w:rsidR="009A28FC">
        <w:trPr>
          <w:jc w:val="center"/>
        </w:trPr>
        <w:tc>
          <w:tcPr>
            <w:tcW w:w="1526" w:type="dxa"/>
            <w:vMerge/>
          </w:tcPr>
          <w:p w:rsidR="009A28FC" w:rsidRDefault="009A28FC">
            <w:pPr>
              <w:spacing w:line="400" w:lineRule="exact"/>
              <w:contextualSpacing/>
              <w:rPr>
                <w:rFonts w:eastAsia="仿宋_GB2312"/>
                <w:color w:val="000000"/>
                <w:kern w:val="0"/>
                <w:sz w:val="28"/>
                <w:szCs w:val="28"/>
              </w:rPr>
            </w:pPr>
          </w:p>
        </w:tc>
        <w:tc>
          <w:tcPr>
            <w:tcW w:w="2754" w:type="dxa"/>
          </w:tcPr>
          <w:p w:rsidR="009A28FC" w:rsidRDefault="00401542">
            <w:pPr>
              <w:spacing w:line="400" w:lineRule="exact"/>
              <w:contextualSpacing/>
              <w:rPr>
                <w:rFonts w:eastAsia="仿宋_GB2312"/>
                <w:color w:val="000000"/>
                <w:kern w:val="0"/>
                <w:sz w:val="28"/>
                <w:szCs w:val="28"/>
              </w:rPr>
            </w:pPr>
            <w:r>
              <w:rPr>
                <w:rFonts w:eastAsia="仿宋_GB2312" w:hint="eastAsia"/>
                <w:color w:val="000000"/>
                <w:kern w:val="0"/>
                <w:sz w:val="28"/>
                <w:szCs w:val="28"/>
              </w:rPr>
              <w:t>乳腺浸润性小叶癌</w:t>
            </w:r>
          </w:p>
        </w:tc>
        <w:tc>
          <w:tcPr>
            <w:tcW w:w="1215" w:type="dxa"/>
          </w:tcPr>
          <w:p w:rsidR="009A28FC" w:rsidRDefault="009A28FC">
            <w:pPr>
              <w:spacing w:line="400" w:lineRule="exact"/>
              <w:contextualSpacing/>
              <w:rPr>
                <w:rFonts w:eastAsia="仿宋_GB2312"/>
                <w:color w:val="000000"/>
                <w:kern w:val="0"/>
                <w:sz w:val="28"/>
                <w:szCs w:val="28"/>
              </w:rPr>
            </w:pPr>
          </w:p>
        </w:tc>
        <w:tc>
          <w:tcPr>
            <w:tcW w:w="1559" w:type="dxa"/>
          </w:tcPr>
          <w:p w:rsidR="009A28FC" w:rsidRDefault="009A28FC">
            <w:pPr>
              <w:spacing w:line="400" w:lineRule="exact"/>
              <w:contextualSpacing/>
              <w:rPr>
                <w:rFonts w:eastAsia="仿宋_GB2312"/>
                <w:color w:val="000000"/>
                <w:kern w:val="0"/>
                <w:sz w:val="28"/>
                <w:szCs w:val="28"/>
              </w:rPr>
            </w:pPr>
          </w:p>
        </w:tc>
        <w:tc>
          <w:tcPr>
            <w:tcW w:w="1559" w:type="dxa"/>
          </w:tcPr>
          <w:p w:rsidR="009A28FC" w:rsidRDefault="009A28FC">
            <w:pPr>
              <w:spacing w:line="400" w:lineRule="exact"/>
              <w:contextualSpacing/>
              <w:rPr>
                <w:rFonts w:eastAsia="仿宋_GB2312"/>
                <w:color w:val="000000"/>
                <w:kern w:val="0"/>
                <w:sz w:val="28"/>
                <w:szCs w:val="28"/>
              </w:rPr>
            </w:pPr>
          </w:p>
        </w:tc>
      </w:tr>
      <w:tr w:rsidR="009A28FC">
        <w:trPr>
          <w:jc w:val="center"/>
        </w:trPr>
        <w:tc>
          <w:tcPr>
            <w:tcW w:w="1526" w:type="dxa"/>
            <w:vMerge/>
          </w:tcPr>
          <w:p w:rsidR="009A28FC" w:rsidRDefault="009A28FC">
            <w:pPr>
              <w:spacing w:line="400" w:lineRule="exact"/>
              <w:contextualSpacing/>
              <w:rPr>
                <w:rFonts w:eastAsia="仿宋_GB2312"/>
                <w:color w:val="000000"/>
                <w:kern w:val="0"/>
                <w:sz w:val="28"/>
                <w:szCs w:val="28"/>
              </w:rPr>
            </w:pPr>
          </w:p>
        </w:tc>
        <w:tc>
          <w:tcPr>
            <w:tcW w:w="2754" w:type="dxa"/>
          </w:tcPr>
          <w:p w:rsidR="009A28FC" w:rsidRDefault="00401542">
            <w:pPr>
              <w:spacing w:line="400" w:lineRule="exact"/>
              <w:contextualSpacing/>
              <w:rPr>
                <w:rFonts w:eastAsia="仿宋_GB2312"/>
                <w:color w:val="000000"/>
                <w:kern w:val="0"/>
                <w:sz w:val="28"/>
                <w:szCs w:val="28"/>
              </w:rPr>
            </w:pPr>
            <w:r>
              <w:rPr>
                <w:rFonts w:eastAsia="仿宋_GB2312" w:hint="eastAsia"/>
                <w:color w:val="000000"/>
                <w:kern w:val="0"/>
                <w:sz w:val="28"/>
                <w:szCs w:val="28"/>
              </w:rPr>
              <w:t>——</w:t>
            </w:r>
          </w:p>
        </w:tc>
        <w:tc>
          <w:tcPr>
            <w:tcW w:w="1215" w:type="dxa"/>
          </w:tcPr>
          <w:p w:rsidR="009A28FC" w:rsidRDefault="009A28FC">
            <w:pPr>
              <w:spacing w:line="400" w:lineRule="exact"/>
              <w:contextualSpacing/>
              <w:rPr>
                <w:rFonts w:eastAsia="仿宋_GB2312"/>
                <w:color w:val="000000"/>
                <w:kern w:val="0"/>
                <w:sz w:val="28"/>
                <w:szCs w:val="28"/>
              </w:rPr>
            </w:pPr>
          </w:p>
        </w:tc>
        <w:tc>
          <w:tcPr>
            <w:tcW w:w="1559" w:type="dxa"/>
          </w:tcPr>
          <w:p w:rsidR="009A28FC" w:rsidRDefault="009A28FC">
            <w:pPr>
              <w:spacing w:line="400" w:lineRule="exact"/>
              <w:contextualSpacing/>
              <w:rPr>
                <w:rFonts w:eastAsia="仿宋_GB2312"/>
                <w:color w:val="000000"/>
                <w:kern w:val="0"/>
                <w:sz w:val="28"/>
                <w:szCs w:val="28"/>
              </w:rPr>
            </w:pPr>
          </w:p>
        </w:tc>
        <w:tc>
          <w:tcPr>
            <w:tcW w:w="1559" w:type="dxa"/>
          </w:tcPr>
          <w:p w:rsidR="009A28FC" w:rsidRDefault="009A28FC">
            <w:pPr>
              <w:spacing w:line="400" w:lineRule="exact"/>
              <w:contextualSpacing/>
              <w:rPr>
                <w:rFonts w:eastAsia="仿宋_GB2312"/>
                <w:color w:val="000000"/>
                <w:kern w:val="0"/>
                <w:sz w:val="28"/>
                <w:szCs w:val="28"/>
              </w:rPr>
            </w:pPr>
          </w:p>
        </w:tc>
      </w:tr>
      <w:tr w:rsidR="009A28FC">
        <w:trPr>
          <w:jc w:val="center"/>
        </w:trPr>
        <w:tc>
          <w:tcPr>
            <w:tcW w:w="1526" w:type="dxa"/>
            <w:vMerge w:val="restart"/>
          </w:tcPr>
          <w:p w:rsidR="009A28FC" w:rsidRDefault="00401542">
            <w:pPr>
              <w:spacing w:line="400" w:lineRule="exact"/>
              <w:contextualSpacing/>
              <w:rPr>
                <w:rFonts w:eastAsia="仿宋_GB2312"/>
                <w:color w:val="000000"/>
                <w:kern w:val="0"/>
                <w:sz w:val="28"/>
                <w:szCs w:val="28"/>
              </w:rPr>
            </w:pPr>
            <w:r>
              <w:rPr>
                <w:rFonts w:eastAsia="仿宋_GB2312" w:hint="eastAsia"/>
                <w:color w:val="000000"/>
                <w:kern w:val="0"/>
                <w:sz w:val="28"/>
                <w:szCs w:val="28"/>
              </w:rPr>
              <w:t>临床分期</w:t>
            </w:r>
          </w:p>
        </w:tc>
        <w:tc>
          <w:tcPr>
            <w:tcW w:w="2754" w:type="dxa"/>
          </w:tcPr>
          <w:p w:rsidR="009A28FC" w:rsidRDefault="00401542">
            <w:pPr>
              <w:spacing w:line="400" w:lineRule="exact"/>
              <w:contextualSpacing/>
              <w:rPr>
                <w:rFonts w:eastAsia="仿宋_GB2312"/>
                <w:color w:val="000000"/>
                <w:kern w:val="0"/>
                <w:sz w:val="28"/>
                <w:szCs w:val="28"/>
              </w:rPr>
            </w:pPr>
            <w:r>
              <w:rPr>
                <w:rFonts w:ascii="Times New Roman" w:eastAsia="仿宋_GB2312" w:hAnsi="Times New Roman" w:cs="Times New Roman"/>
                <w:color w:val="000000"/>
                <w:kern w:val="0"/>
                <w:sz w:val="28"/>
                <w:szCs w:val="28"/>
              </w:rPr>
              <w:t>I</w:t>
            </w:r>
          </w:p>
        </w:tc>
        <w:tc>
          <w:tcPr>
            <w:tcW w:w="1215" w:type="dxa"/>
          </w:tcPr>
          <w:p w:rsidR="009A28FC" w:rsidRDefault="009A28FC">
            <w:pPr>
              <w:spacing w:line="400" w:lineRule="exact"/>
              <w:contextualSpacing/>
              <w:rPr>
                <w:rFonts w:eastAsia="仿宋_GB2312"/>
                <w:color w:val="000000"/>
                <w:kern w:val="0"/>
                <w:sz w:val="28"/>
                <w:szCs w:val="28"/>
              </w:rPr>
            </w:pPr>
          </w:p>
        </w:tc>
        <w:tc>
          <w:tcPr>
            <w:tcW w:w="1559" w:type="dxa"/>
          </w:tcPr>
          <w:p w:rsidR="009A28FC" w:rsidRDefault="009A28FC">
            <w:pPr>
              <w:spacing w:line="400" w:lineRule="exact"/>
              <w:contextualSpacing/>
              <w:rPr>
                <w:rFonts w:eastAsia="仿宋_GB2312"/>
                <w:color w:val="000000"/>
                <w:kern w:val="0"/>
                <w:sz w:val="28"/>
                <w:szCs w:val="28"/>
              </w:rPr>
            </w:pPr>
          </w:p>
        </w:tc>
        <w:tc>
          <w:tcPr>
            <w:tcW w:w="1559" w:type="dxa"/>
          </w:tcPr>
          <w:p w:rsidR="009A28FC" w:rsidRDefault="009A28FC">
            <w:pPr>
              <w:spacing w:line="400" w:lineRule="exact"/>
              <w:contextualSpacing/>
              <w:rPr>
                <w:rFonts w:eastAsia="仿宋_GB2312"/>
                <w:color w:val="000000"/>
                <w:kern w:val="0"/>
                <w:sz w:val="28"/>
                <w:szCs w:val="28"/>
              </w:rPr>
            </w:pPr>
          </w:p>
        </w:tc>
      </w:tr>
      <w:tr w:rsidR="009A28FC">
        <w:trPr>
          <w:jc w:val="center"/>
        </w:trPr>
        <w:tc>
          <w:tcPr>
            <w:tcW w:w="1526" w:type="dxa"/>
            <w:vMerge/>
          </w:tcPr>
          <w:p w:rsidR="009A28FC" w:rsidRDefault="009A28FC">
            <w:pPr>
              <w:spacing w:line="400" w:lineRule="exact"/>
              <w:contextualSpacing/>
              <w:rPr>
                <w:rFonts w:eastAsia="仿宋_GB2312"/>
                <w:color w:val="000000"/>
                <w:kern w:val="0"/>
                <w:sz w:val="28"/>
                <w:szCs w:val="28"/>
              </w:rPr>
            </w:pPr>
          </w:p>
        </w:tc>
        <w:tc>
          <w:tcPr>
            <w:tcW w:w="2754" w:type="dxa"/>
          </w:tcPr>
          <w:p w:rsidR="009A28FC" w:rsidRDefault="00401542">
            <w:pPr>
              <w:spacing w:line="400" w:lineRule="exact"/>
              <w:contextualSpacing/>
              <w:rPr>
                <w:rFonts w:eastAsia="仿宋_GB2312"/>
                <w:color w:val="000000"/>
                <w:kern w:val="0"/>
                <w:sz w:val="28"/>
                <w:szCs w:val="28"/>
              </w:rPr>
            </w:pPr>
            <w:r>
              <w:rPr>
                <w:rFonts w:ascii="Times New Roman" w:eastAsia="仿宋_GB2312" w:hAnsi="Times New Roman" w:cs="Times New Roman"/>
                <w:color w:val="000000"/>
                <w:kern w:val="0"/>
                <w:sz w:val="28"/>
                <w:szCs w:val="28"/>
              </w:rPr>
              <w:t>II</w:t>
            </w:r>
          </w:p>
        </w:tc>
        <w:tc>
          <w:tcPr>
            <w:tcW w:w="1215" w:type="dxa"/>
          </w:tcPr>
          <w:p w:rsidR="009A28FC" w:rsidRDefault="009A28FC">
            <w:pPr>
              <w:spacing w:line="400" w:lineRule="exact"/>
              <w:contextualSpacing/>
              <w:rPr>
                <w:rFonts w:eastAsia="仿宋_GB2312"/>
                <w:color w:val="000000"/>
                <w:kern w:val="0"/>
                <w:sz w:val="28"/>
                <w:szCs w:val="28"/>
              </w:rPr>
            </w:pPr>
          </w:p>
        </w:tc>
        <w:tc>
          <w:tcPr>
            <w:tcW w:w="1559" w:type="dxa"/>
          </w:tcPr>
          <w:p w:rsidR="009A28FC" w:rsidRDefault="009A28FC">
            <w:pPr>
              <w:spacing w:line="400" w:lineRule="exact"/>
              <w:contextualSpacing/>
              <w:rPr>
                <w:rFonts w:eastAsia="仿宋_GB2312"/>
                <w:color w:val="000000"/>
                <w:kern w:val="0"/>
                <w:sz w:val="28"/>
                <w:szCs w:val="28"/>
              </w:rPr>
            </w:pPr>
          </w:p>
        </w:tc>
        <w:tc>
          <w:tcPr>
            <w:tcW w:w="1559" w:type="dxa"/>
          </w:tcPr>
          <w:p w:rsidR="009A28FC" w:rsidRDefault="009A28FC">
            <w:pPr>
              <w:spacing w:line="400" w:lineRule="exact"/>
              <w:contextualSpacing/>
              <w:rPr>
                <w:rFonts w:eastAsia="仿宋_GB2312"/>
                <w:color w:val="000000"/>
                <w:kern w:val="0"/>
                <w:sz w:val="28"/>
                <w:szCs w:val="28"/>
              </w:rPr>
            </w:pPr>
          </w:p>
        </w:tc>
      </w:tr>
      <w:tr w:rsidR="009A28FC">
        <w:trPr>
          <w:jc w:val="center"/>
        </w:trPr>
        <w:tc>
          <w:tcPr>
            <w:tcW w:w="1526" w:type="dxa"/>
            <w:vMerge/>
          </w:tcPr>
          <w:p w:rsidR="009A28FC" w:rsidRDefault="009A28FC">
            <w:pPr>
              <w:spacing w:line="400" w:lineRule="exact"/>
              <w:contextualSpacing/>
              <w:rPr>
                <w:rFonts w:eastAsia="仿宋_GB2312"/>
                <w:color w:val="000000"/>
                <w:kern w:val="0"/>
                <w:sz w:val="28"/>
                <w:szCs w:val="28"/>
              </w:rPr>
            </w:pPr>
          </w:p>
        </w:tc>
        <w:tc>
          <w:tcPr>
            <w:tcW w:w="2754" w:type="dxa"/>
          </w:tcPr>
          <w:p w:rsidR="009A28FC" w:rsidRDefault="00401542">
            <w:pPr>
              <w:spacing w:line="400" w:lineRule="exact"/>
              <w:contextualSpacing/>
              <w:rPr>
                <w:rFonts w:ascii="Times New Roman" w:eastAsia="仿宋_GB2312" w:hAnsi="Times New Roman" w:cs="Times New Roman"/>
                <w:color w:val="000000"/>
                <w:kern w:val="0"/>
                <w:sz w:val="28"/>
                <w:szCs w:val="28"/>
              </w:rPr>
            </w:pPr>
            <w:r>
              <w:rPr>
                <w:rFonts w:ascii="Times New Roman" w:eastAsia="仿宋_GB2312" w:hAnsi="Times New Roman" w:cs="Times New Roman"/>
                <w:color w:val="000000"/>
                <w:kern w:val="0"/>
                <w:sz w:val="28"/>
                <w:szCs w:val="28"/>
              </w:rPr>
              <w:t>III</w:t>
            </w:r>
          </w:p>
        </w:tc>
        <w:tc>
          <w:tcPr>
            <w:tcW w:w="1215" w:type="dxa"/>
          </w:tcPr>
          <w:p w:rsidR="009A28FC" w:rsidRDefault="009A28FC">
            <w:pPr>
              <w:spacing w:line="400" w:lineRule="exact"/>
              <w:contextualSpacing/>
              <w:rPr>
                <w:rFonts w:eastAsia="仿宋_GB2312"/>
                <w:color w:val="000000"/>
                <w:kern w:val="0"/>
                <w:sz w:val="28"/>
                <w:szCs w:val="28"/>
              </w:rPr>
            </w:pPr>
          </w:p>
        </w:tc>
        <w:tc>
          <w:tcPr>
            <w:tcW w:w="1559" w:type="dxa"/>
          </w:tcPr>
          <w:p w:rsidR="009A28FC" w:rsidRDefault="009A28FC">
            <w:pPr>
              <w:spacing w:line="400" w:lineRule="exact"/>
              <w:contextualSpacing/>
              <w:rPr>
                <w:rFonts w:eastAsia="仿宋_GB2312"/>
                <w:color w:val="000000"/>
                <w:kern w:val="0"/>
                <w:sz w:val="28"/>
                <w:szCs w:val="28"/>
              </w:rPr>
            </w:pPr>
          </w:p>
        </w:tc>
        <w:tc>
          <w:tcPr>
            <w:tcW w:w="1559" w:type="dxa"/>
          </w:tcPr>
          <w:p w:rsidR="009A28FC" w:rsidRDefault="009A28FC">
            <w:pPr>
              <w:spacing w:line="400" w:lineRule="exact"/>
              <w:contextualSpacing/>
              <w:rPr>
                <w:rFonts w:eastAsia="仿宋_GB2312"/>
                <w:color w:val="000000"/>
                <w:kern w:val="0"/>
                <w:sz w:val="28"/>
                <w:szCs w:val="28"/>
              </w:rPr>
            </w:pPr>
          </w:p>
        </w:tc>
      </w:tr>
      <w:tr w:rsidR="009A28FC">
        <w:trPr>
          <w:jc w:val="center"/>
        </w:trPr>
        <w:tc>
          <w:tcPr>
            <w:tcW w:w="1526" w:type="dxa"/>
            <w:vMerge/>
          </w:tcPr>
          <w:p w:rsidR="009A28FC" w:rsidRDefault="009A28FC">
            <w:pPr>
              <w:spacing w:line="400" w:lineRule="exact"/>
              <w:contextualSpacing/>
              <w:rPr>
                <w:rFonts w:eastAsia="仿宋_GB2312"/>
                <w:color w:val="000000"/>
                <w:kern w:val="0"/>
                <w:sz w:val="28"/>
                <w:szCs w:val="28"/>
              </w:rPr>
            </w:pPr>
          </w:p>
        </w:tc>
        <w:tc>
          <w:tcPr>
            <w:tcW w:w="2754" w:type="dxa"/>
          </w:tcPr>
          <w:p w:rsidR="009A28FC" w:rsidRDefault="00401542">
            <w:pPr>
              <w:spacing w:line="400" w:lineRule="exact"/>
              <w:contextualSpacing/>
              <w:rPr>
                <w:rFonts w:eastAsia="仿宋_GB2312"/>
                <w:color w:val="000000"/>
                <w:kern w:val="0"/>
                <w:sz w:val="28"/>
                <w:szCs w:val="28"/>
              </w:rPr>
            </w:pPr>
            <w:r>
              <w:rPr>
                <w:rFonts w:ascii="Times New Roman" w:eastAsia="仿宋_GB2312" w:hAnsi="Times New Roman" w:cs="Times New Roman"/>
                <w:color w:val="000000"/>
                <w:kern w:val="0"/>
                <w:sz w:val="28"/>
                <w:szCs w:val="28"/>
              </w:rPr>
              <w:t>IV</w:t>
            </w:r>
          </w:p>
        </w:tc>
        <w:tc>
          <w:tcPr>
            <w:tcW w:w="1215" w:type="dxa"/>
          </w:tcPr>
          <w:p w:rsidR="009A28FC" w:rsidRDefault="009A28FC">
            <w:pPr>
              <w:spacing w:line="400" w:lineRule="exact"/>
              <w:contextualSpacing/>
              <w:rPr>
                <w:rFonts w:eastAsia="仿宋_GB2312"/>
                <w:color w:val="000000"/>
                <w:kern w:val="0"/>
                <w:sz w:val="28"/>
                <w:szCs w:val="28"/>
              </w:rPr>
            </w:pPr>
          </w:p>
        </w:tc>
        <w:tc>
          <w:tcPr>
            <w:tcW w:w="1559" w:type="dxa"/>
          </w:tcPr>
          <w:p w:rsidR="009A28FC" w:rsidRDefault="009A28FC">
            <w:pPr>
              <w:spacing w:line="400" w:lineRule="exact"/>
              <w:contextualSpacing/>
              <w:rPr>
                <w:rFonts w:eastAsia="仿宋_GB2312"/>
                <w:color w:val="000000"/>
                <w:kern w:val="0"/>
                <w:sz w:val="28"/>
                <w:szCs w:val="28"/>
              </w:rPr>
            </w:pPr>
          </w:p>
        </w:tc>
        <w:tc>
          <w:tcPr>
            <w:tcW w:w="1559" w:type="dxa"/>
          </w:tcPr>
          <w:p w:rsidR="009A28FC" w:rsidRDefault="009A28FC">
            <w:pPr>
              <w:spacing w:line="400" w:lineRule="exact"/>
              <w:contextualSpacing/>
              <w:rPr>
                <w:rFonts w:eastAsia="仿宋_GB2312"/>
                <w:color w:val="000000"/>
                <w:kern w:val="0"/>
                <w:sz w:val="28"/>
                <w:szCs w:val="28"/>
              </w:rPr>
            </w:pPr>
          </w:p>
        </w:tc>
      </w:tr>
      <w:tr w:rsidR="009A28FC">
        <w:trPr>
          <w:jc w:val="center"/>
        </w:trPr>
        <w:tc>
          <w:tcPr>
            <w:tcW w:w="1526" w:type="dxa"/>
            <w:vMerge w:val="restart"/>
          </w:tcPr>
          <w:p w:rsidR="009A28FC" w:rsidRDefault="00401542">
            <w:pPr>
              <w:spacing w:line="400" w:lineRule="exact"/>
              <w:contextualSpacing/>
              <w:rPr>
                <w:rFonts w:eastAsia="仿宋_GB2312"/>
                <w:kern w:val="0"/>
                <w:sz w:val="28"/>
                <w:szCs w:val="28"/>
              </w:rPr>
            </w:pPr>
            <w:r>
              <w:rPr>
                <w:rFonts w:ascii="Times New Roman" w:eastAsia="仿宋_GB2312" w:hAnsi="Times New Roman" w:cs="Times New Roman"/>
                <w:kern w:val="0"/>
                <w:sz w:val="28"/>
                <w:szCs w:val="28"/>
              </w:rPr>
              <w:lastRenderedPageBreak/>
              <w:t>IHC</w:t>
            </w:r>
            <w:r>
              <w:rPr>
                <w:rFonts w:eastAsia="仿宋_GB2312" w:hint="eastAsia"/>
                <w:kern w:val="0"/>
                <w:sz w:val="28"/>
                <w:szCs w:val="28"/>
              </w:rPr>
              <w:t>检测结果</w:t>
            </w:r>
          </w:p>
        </w:tc>
        <w:tc>
          <w:tcPr>
            <w:tcW w:w="2754" w:type="dxa"/>
          </w:tcPr>
          <w:p w:rsidR="009A28FC" w:rsidRDefault="00401542">
            <w:pPr>
              <w:spacing w:line="400" w:lineRule="exact"/>
              <w:contextualSpacing/>
              <w:rPr>
                <w:rFonts w:eastAsia="仿宋_GB2312"/>
                <w:color w:val="000000"/>
                <w:kern w:val="0"/>
                <w:sz w:val="28"/>
                <w:szCs w:val="28"/>
              </w:rPr>
            </w:pPr>
            <w:r>
              <w:rPr>
                <w:rFonts w:ascii="Times New Roman" w:eastAsia="仿宋_GB2312" w:hAnsi="Times New Roman" w:cs="Times New Roman"/>
                <w:color w:val="000000"/>
                <w:kern w:val="0"/>
                <w:sz w:val="28"/>
                <w:szCs w:val="28"/>
              </w:rPr>
              <w:t>3+</w:t>
            </w:r>
          </w:p>
        </w:tc>
        <w:tc>
          <w:tcPr>
            <w:tcW w:w="1215" w:type="dxa"/>
          </w:tcPr>
          <w:p w:rsidR="009A28FC" w:rsidRDefault="009A28FC">
            <w:pPr>
              <w:spacing w:line="400" w:lineRule="exact"/>
              <w:contextualSpacing/>
              <w:rPr>
                <w:rFonts w:eastAsia="仿宋_GB2312"/>
                <w:color w:val="000000"/>
                <w:kern w:val="0"/>
                <w:sz w:val="28"/>
                <w:szCs w:val="28"/>
              </w:rPr>
            </w:pPr>
          </w:p>
        </w:tc>
        <w:tc>
          <w:tcPr>
            <w:tcW w:w="1559" w:type="dxa"/>
          </w:tcPr>
          <w:p w:rsidR="009A28FC" w:rsidRDefault="009A28FC">
            <w:pPr>
              <w:spacing w:line="400" w:lineRule="exact"/>
              <w:contextualSpacing/>
              <w:rPr>
                <w:rFonts w:eastAsia="仿宋_GB2312"/>
                <w:color w:val="000000"/>
                <w:kern w:val="0"/>
                <w:sz w:val="28"/>
                <w:szCs w:val="28"/>
              </w:rPr>
            </w:pPr>
          </w:p>
        </w:tc>
        <w:tc>
          <w:tcPr>
            <w:tcW w:w="1559" w:type="dxa"/>
          </w:tcPr>
          <w:p w:rsidR="009A28FC" w:rsidRDefault="009A28FC">
            <w:pPr>
              <w:spacing w:line="400" w:lineRule="exact"/>
              <w:contextualSpacing/>
              <w:rPr>
                <w:rFonts w:eastAsia="仿宋_GB2312"/>
                <w:color w:val="000000"/>
                <w:kern w:val="0"/>
                <w:sz w:val="28"/>
                <w:szCs w:val="28"/>
              </w:rPr>
            </w:pPr>
          </w:p>
        </w:tc>
      </w:tr>
      <w:tr w:rsidR="009A28FC">
        <w:trPr>
          <w:jc w:val="center"/>
        </w:trPr>
        <w:tc>
          <w:tcPr>
            <w:tcW w:w="1526" w:type="dxa"/>
            <w:vMerge/>
          </w:tcPr>
          <w:p w:rsidR="009A28FC" w:rsidRDefault="009A28FC">
            <w:pPr>
              <w:spacing w:line="400" w:lineRule="exact"/>
              <w:contextualSpacing/>
              <w:rPr>
                <w:rFonts w:eastAsia="仿宋_GB2312"/>
                <w:color w:val="000000"/>
                <w:kern w:val="0"/>
                <w:sz w:val="28"/>
                <w:szCs w:val="28"/>
              </w:rPr>
            </w:pPr>
          </w:p>
        </w:tc>
        <w:tc>
          <w:tcPr>
            <w:tcW w:w="2754" w:type="dxa"/>
          </w:tcPr>
          <w:p w:rsidR="009A28FC" w:rsidRDefault="00401542">
            <w:pPr>
              <w:spacing w:line="400" w:lineRule="exact"/>
              <w:contextualSpacing/>
              <w:rPr>
                <w:rFonts w:eastAsia="仿宋_GB2312"/>
                <w:color w:val="000000"/>
                <w:kern w:val="0"/>
                <w:sz w:val="28"/>
                <w:szCs w:val="28"/>
              </w:rPr>
            </w:pPr>
            <w:r>
              <w:rPr>
                <w:rFonts w:ascii="Times New Roman" w:eastAsia="仿宋_GB2312" w:hAnsi="Times New Roman" w:cs="Times New Roman"/>
                <w:color w:val="000000"/>
                <w:kern w:val="0"/>
                <w:sz w:val="28"/>
                <w:szCs w:val="28"/>
              </w:rPr>
              <w:t>2+</w:t>
            </w:r>
          </w:p>
        </w:tc>
        <w:tc>
          <w:tcPr>
            <w:tcW w:w="1215" w:type="dxa"/>
          </w:tcPr>
          <w:p w:rsidR="009A28FC" w:rsidRDefault="009A28FC">
            <w:pPr>
              <w:spacing w:line="400" w:lineRule="exact"/>
              <w:contextualSpacing/>
              <w:rPr>
                <w:rFonts w:eastAsia="仿宋_GB2312"/>
                <w:color w:val="000000"/>
                <w:kern w:val="0"/>
                <w:sz w:val="28"/>
                <w:szCs w:val="28"/>
              </w:rPr>
            </w:pPr>
          </w:p>
        </w:tc>
        <w:tc>
          <w:tcPr>
            <w:tcW w:w="1559" w:type="dxa"/>
          </w:tcPr>
          <w:p w:rsidR="009A28FC" w:rsidRDefault="009A28FC">
            <w:pPr>
              <w:spacing w:line="400" w:lineRule="exact"/>
              <w:contextualSpacing/>
              <w:rPr>
                <w:rFonts w:eastAsia="仿宋_GB2312"/>
                <w:color w:val="000000"/>
                <w:kern w:val="0"/>
                <w:sz w:val="28"/>
                <w:szCs w:val="28"/>
              </w:rPr>
            </w:pPr>
          </w:p>
        </w:tc>
        <w:tc>
          <w:tcPr>
            <w:tcW w:w="1559" w:type="dxa"/>
          </w:tcPr>
          <w:p w:rsidR="009A28FC" w:rsidRDefault="009A28FC">
            <w:pPr>
              <w:spacing w:line="400" w:lineRule="exact"/>
              <w:contextualSpacing/>
              <w:rPr>
                <w:rFonts w:eastAsia="仿宋_GB2312"/>
                <w:color w:val="000000"/>
                <w:kern w:val="0"/>
                <w:sz w:val="28"/>
                <w:szCs w:val="28"/>
              </w:rPr>
            </w:pPr>
          </w:p>
        </w:tc>
      </w:tr>
      <w:tr w:rsidR="009A28FC">
        <w:trPr>
          <w:jc w:val="center"/>
        </w:trPr>
        <w:tc>
          <w:tcPr>
            <w:tcW w:w="1526" w:type="dxa"/>
            <w:vMerge/>
          </w:tcPr>
          <w:p w:rsidR="009A28FC" w:rsidRDefault="009A28FC">
            <w:pPr>
              <w:spacing w:line="400" w:lineRule="exact"/>
              <w:contextualSpacing/>
              <w:rPr>
                <w:rFonts w:eastAsia="仿宋_GB2312"/>
                <w:color w:val="000000"/>
                <w:kern w:val="0"/>
                <w:sz w:val="28"/>
                <w:szCs w:val="28"/>
              </w:rPr>
            </w:pPr>
          </w:p>
        </w:tc>
        <w:tc>
          <w:tcPr>
            <w:tcW w:w="2754" w:type="dxa"/>
          </w:tcPr>
          <w:p w:rsidR="009A28FC" w:rsidRDefault="00401542">
            <w:pPr>
              <w:spacing w:line="400" w:lineRule="exact"/>
              <w:contextualSpacing/>
              <w:rPr>
                <w:rFonts w:eastAsia="仿宋_GB2312"/>
                <w:color w:val="000000"/>
                <w:kern w:val="0"/>
                <w:sz w:val="28"/>
                <w:szCs w:val="28"/>
              </w:rPr>
            </w:pPr>
            <w:r>
              <w:rPr>
                <w:rFonts w:ascii="Times New Roman" w:eastAsia="仿宋_GB2312" w:hAnsi="Times New Roman" w:cs="Times New Roman"/>
                <w:color w:val="000000"/>
                <w:kern w:val="0"/>
                <w:sz w:val="28"/>
                <w:szCs w:val="28"/>
              </w:rPr>
              <w:t>1+</w:t>
            </w:r>
            <w:r>
              <w:rPr>
                <w:rFonts w:ascii="Times New Roman" w:eastAsia="仿宋_GB2312" w:hAnsi="Times New Roman" w:cs="Times New Roman"/>
                <w:color w:val="000000"/>
                <w:kern w:val="0"/>
                <w:sz w:val="28"/>
                <w:szCs w:val="28"/>
              </w:rPr>
              <w:t>，</w:t>
            </w:r>
            <w:r>
              <w:rPr>
                <w:rFonts w:ascii="Times New Roman" w:eastAsia="仿宋_GB2312" w:hAnsi="Times New Roman" w:cs="Times New Roman"/>
                <w:color w:val="000000"/>
                <w:kern w:val="0"/>
                <w:sz w:val="28"/>
                <w:szCs w:val="28"/>
              </w:rPr>
              <w:t>0</w:t>
            </w:r>
          </w:p>
        </w:tc>
        <w:tc>
          <w:tcPr>
            <w:tcW w:w="1215" w:type="dxa"/>
          </w:tcPr>
          <w:p w:rsidR="009A28FC" w:rsidRDefault="009A28FC">
            <w:pPr>
              <w:spacing w:line="400" w:lineRule="exact"/>
              <w:contextualSpacing/>
              <w:rPr>
                <w:rFonts w:eastAsia="仿宋_GB2312"/>
                <w:color w:val="000000"/>
                <w:kern w:val="0"/>
                <w:sz w:val="28"/>
                <w:szCs w:val="28"/>
              </w:rPr>
            </w:pPr>
          </w:p>
        </w:tc>
        <w:tc>
          <w:tcPr>
            <w:tcW w:w="1559" w:type="dxa"/>
          </w:tcPr>
          <w:p w:rsidR="009A28FC" w:rsidRDefault="009A28FC">
            <w:pPr>
              <w:spacing w:line="400" w:lineRule="exact"/>
              <w:contextualSpacing/>
              <w:rPr>
                <w:rFonts w:eastAsia="仿宋_GB2312"/>
                <w:color w:val="000000"/>
                <w:kern w:val="0"/>
                <w:sz w:val="28"/>
                <w:szCs w:val="28"/>
              </w:rPr>
            </w:pPr>
          </w:p>
        </w:tc>
        <w:tc>
          <w:tcPr>
            <w:tcW w:w="1559" w:type="dxa"/>
          </w:tcPr>
          <w:p w:rsidR="009A28FC" w:rsidRDefault="009A28FC">
            <w:pPr>
              <w:spacing w:line="400" w:lineRule="exact"/>
              <w:contextualSpacing/>
              <w:rPr>
                <w:rFonts w:eastAsia="仿宋_GB2312"/>
                <w:color w:val="000000"/>
                <w:kern w:val="0"/>
                <w:sz w:val="28"/>
                <w:szCs w:val="28"/>
              </w:rPr>
            </w:pPr>
          </w:p>
        </w:tc>
      </w:tr>
    </w:tbl>
    <w:p w:rsidR="009A28FC" w:rsidRDefault="009A28FC">
      <w:pPr>
        <w:spacing w:line="520" w:lineRule="exact"/>
        <w:ind w:firstLineChars="200" w:firstLine="640"/>
        <w:rPr>
          <w:rFonts w:eastAsia="仿宋_GB2312"/>
          <w:color w:val="000000"/>
          <w:kern w:val="0"/>
          <w:sz w:val="32"/>
          <w:szCs w:val="32"/>
        </w:rPr>
      </w:pPr>
    </w:p>
    <w:p w:rsidR="009A28FC" w:rsidRDefault="00401542">
      <w:pPr>
        <w:spacing w:line="520" w:lineRule="exact"/>
        <w:ind w:firstLineChars="200" w:firstLine="640"/>
        <w:rPr>
          <w:rFonts w:eastAsia="仿宋_GB2312"/>
          <w:color w:val="000000"/>
          <w:kern w:val="0"/>
          <w:sz w:val="32"/>
          <w:szCs w:val="32"/>
        </w:rPr>
      </w:pPr>
      <w:r>
        <w:rPr>
          <w:rFonts w:eastAsia="仿宋_GB2312"/>
          <w:color w:val="000000"/>
          <w:kern w:val="0"/>
          <w:sz w:val="32"/>
          <w:szCs w:val="32"/>
        </w:rPr>
        <w:t>以</w:t>
      </w:r>
      <w:r>
        <w:rPr>
          <w:rFonts w:eastAsia="仿宋_GB2312" w:hint="eastAsia"/>
          <w:color w:val="000000"/>
          <w:kern w:val="0"/>
          <w:sz w:val="32"/>
          <w:szCs w:val="32"/>
        </w:rPr>
        <w:t>四格表分别总结申报产品与对比方法的定性检测结果</w:t>
      </w:r>
      <w:r>
        <w:rPr>
          <w:rFonts w:eastAsia="仿宋_GB2312"/>
          <w:color w:val="000000"/>
          <w:kern w:val="0"/>
          <w:sz w:val="32"/>
          <w:szCs w:val="32"/>
        </w:rPr>
        <w:t>，计算全部样本的阳性符合率、阴性符合率和总符合率以及</w:t>
      </w:r>
      <w:r>
        <w:rPr>
          <w:rFonts w:ascii="Times New Roman" w:eastAsia="仿宋_GB2312" w:hAnsi="Times New Roman" w:cs="Times New Roman"/>
          <w:color w:val="000000"/>
          <w:kern w:val="0"/>
          <w:sz w:val="32"/>
          <w:szCs w:val="32"/>
        </w:rPr>
        <w:t>IHC</w:t>
      </w:r>
      <w:r>
        <w:rPr>
          <w:rFonts w:eastAsia="仿宋_GB2312"/>
          <w:color w:val="000000"/>
          <w:kern w:val="0"/>
          <w:sz w:val="32"/>
          <w:szCs w:val="32"/>
        </w:rPr>
        <w:t>检测结果为</w:t>
      </w:r>
      <w:r>
        <w:rPr>
          <w:rFonts w:ascii="Times New Roman" w:eastAsia="仿宋_GB2312" w:hAnsi="Times New Roman" w:cs="Times New Roman"/>
          <w:color w:val="000000"/>
          <w:kern w:val="0"/>
          <w:sz w:val="32"/>
          <w:szCs w:val="32"/>
        </w:rPr>
        <w:t>HER2</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2+</w:t>
      </w:r>
      <w:r>
        <w:rPr>
          <w:rFonts w:eastAsia="仿宋_GB2312"/>
          <w:color w:val="000000"/>
          <w:kern w:val="0"/>
          <w:sz w:val="32"/>
          <w:szCs w:val="32"/>
        </w:rPr>
        <w:t>）样本的阳性符合率、阴性符合率和总符合率</w:t>
      </w:r>
      <w:r>
        <w:rPr>
          <w:rFonts w:eastAsia="仿宋_GB2312" w:hint="eastAsia"/>
          <w:color w:val="000000"/>
          <w:kern w:val="0"/>
          <w:sz w:val="32"/>
          <w:szCs w:val="32"/>
        </w:rPr>
        <w:t>及相应的</w:t>
      </w:r>
      <w:r>
        <w:rPr>
          <w:rFonts w:ascii="Times New Roman" w:eastAsia="仿宋_GB2312" w:hAnsi="Times New Roman" w:cs="Times New Roman"/>
          <w:color w:val="000000"/>
          <w:kern w:val="0"/>
          <w:sz w:val="32"/>
          <w:szCs w:val="32"/>
        </w:rPr>
        <w:t>95%</w:t>
      </w:r>
      <w:r>
        <w:rPr>
          <w:rFonts w:eastAsia="仿宋_GB2312"/>
          <w:color w:val="000000"/>
          <w:kern w:val="0"/>
          <w:sz w:val="32"/>
          <w:szCs w:val="32"/>
        </w:rPr>
        <w:t>置信区间，给出</w:t>
      </w:r>
      <w:r>
        <w:rPr>
          <w:rFonts w:eastAsia="仿宋_GB2312" w:hint="eastAsia"/>
          <w:color w:val="000000"/>
          <w:kern w:val="0"/>
          <w:sz w:val="32"/>
          <w:szCs w:val="32"/>
        </w:rPr>
        <w:t>扩增状态</w:t>
      </w:r>
      <w:r>
        <w:rPr>
          <w:rFonts w:eastAsia="仿宋_GB2312"/>
          <w:color w:val="000000"/>
          <w:kern w:val="0"/>
          <w:sz w:val="32"/>
          <w:szCs w:val="32"/>
        </w:rPr>
        <w:t>不确定样本占全部样本的比例，并评价其对符合率的影响，以</w:t>
      </w:r>
      <w:r>
        <w:rPr>
          <w:rFonts w:eastAsia="仿宋_GB2312" w:hint="eastAsia"/>
          <w:color w:val="000000"/>
          <w:kern w:val="0"/>
          <w:sz w:val="32"/>
          <w:szCs w:val="32"/>
        </w:rPr>
        <w:t>确认</w:t>
      </w:r>
      <w:r>
        <w:rPr>
          <w:rFonts w:eastAsia="仿宋_GB2312"/>
          <w:color w:val="000000"/>
          <w:kern w:val="0"/>
          <w:sz w:val="32"/>
          <w:szCs w:val="32"/>
        </w:rPr>
        <w:t>两种试剂检测结果的一致性。</w:t>
      </w:r>
    </w:p>
    <w:p w:rsidR="009A28FC" w:rsidRDefault="00401542">
      <w:pPr>
        <w:autoSpaceDE w:val="0"/>
        <w:autoSpaceDN w:val="0"/>
        <w:adjustRightInd w:val="0"/>
        <w:spacing w:line="520" w:lineRule="exact"/>
        <w:ind w:firstLineChars="200" w:firstLine="640"/>
        <w:jc w:val="left"/>
        <w:rPr>
          <w:rFonts w:eastAsia="仿宋_GB2312"/>
          <w:color w:val="000000"/>
          <w:kern w:val="0"/>
          <w:sz w:val="32"/>
          <w:szCs w:val="32"/>
        </w:rPr>
      </w:pPr>
      <w:r>
        <w:rPr>
          <w:rFonts w:eastAsia="仿宋_GB2312"/>
          <w:color w:val="000000"/>
          <w:kern w:val="0"/>
          <w:sz w:val="32"/>
          <w:szCs w:val="32"/>
        </w:rPr>
        <w:t>在数据收集过程中，对两种试剂检测结果不一致的样本，</w:t>
      </w:r>
      <w:r>
        <w:rPr>
          <w:rFonts w:eastAsia="仿宋_GB2312" w:hint="eastAsia"/>
          <w:color w:val="000000"/>
          <w:kern w:val="0"/>
          <w:sz w:val="32"/>
          <w:szCs w:val="32"/>
        </w:rPr>
        <w:t>可</w:t>
      </w:r>
      <w:r>
        <w:rPr>
          <w:rFonts w:eastAsia="仿宋_GB2312" w:hint="eastAsia"/>
          <w:color w:val="000000"/>
          <w:kern w:val="0"/>
          <w:sz w:val="32"/>
          <w:szCs w:val="32"/>
        </w:rPr>
        <w:t>采用第三方试剂或其他合理的方法进行确认，同时结合组织病理学特征、免疫组织化学检测结果等对差异产生原因进行分析，</w:t>
      </w:r>
      <w:r>
        <w:rPr>
          <w:rFonts w:eastAsia="仿宋_GB2312" w:hint="eastAsia"/>
          <w:sz w:val="32"/>
          <w:szCs w:val="32"/>
        </w:rPr>
        <w:t>但该分析结果不应纳入原有统计分析。</w:t>
      </w:r>
    </w:p>
    <w:p w:rsidR="009A28FC" w:rsidRDefault="00401542">
      <w:pPr>
        <w:autoSpaceDE w:val="0"/>
        <w:autoSpaceDN w:val="0"/>
        <w:adjustRightInd w:val="0"/>
        <w:spacing w:line="520" w:lineRule="exact"/>
        <w:ind w:firstLineChars="200" w:firstLine="640"/>
        <w:jc w:val="left"/>
        <w:rPr>
          <w:rFonts w:eastAsia="仿宋_GB2312"/>
          <w:color w:val="000000"/>
          <w:kern w:val="0"/>
          <w:sz w:val="32"/>
          <w:szCs w:val="32"/>
        </w:rPr>
      </w:pPr>
      <w:r>
        <w:rPr>
          <w:rFonts w:ascii="Times New Roman" w:eastAsia="仿宋_GB2312" w:hAnsi="Times New Roman" w:cs="Times New Roman"/>
          <w:color w:val="000000"/>
          <w:kern w:val="0"/>
          <w:sz w:val="32"/>
          <w:szCs w:val="32"/>
        </w:rPr>
        <w:t>6.</w:t>
      </w:r>
      <w:r>
        <w:rPr>
          <w:rFonts w:eastAsia="仿宋_GB2312" w:hint="eastAsia"/>
          <w:color w:val="000000"/>
          <w:kern w:val="0"/>
          <w:sz w:val="32"/>
          <w:szCs w:val="32"/>
        </w:rPr>
        <w:t>通用要求</w:t>
      </w:r>
    </w:p>
    <w:p w:rsidR="009A28FC" w:rsidRDefault="00401542">
      <w:pPr>
        <w:spacing w:line="520" w:lineRule="exact"/>
        <w:ind w:firstLineChars="200" w:firstLine="640"/>
        <w:rPr>
          <w:rFonts w:eastAsia="仿宋_GB2312"/>
          <w:color w:val="000000"/>
          <w:kern w:val="0"/>
          <w:sz w:val="32"/>
          <w:szCs w:val="32"/>
        </w:rPr>
      </w:pPr>
      <w:r>
        <w:rPr>
          <w:rFonts w:ascii="Times New Roman" w:eastAsia="仿宋_GB2312" w:hAnsi="Times New Roman" w:cs="Times New Roman"/>
          <w:color w:val="000000"/>
          <w:kern w:val="0"/>
          <w:sz w:val="32"/>
          <w:szCs w:val="32"/>
        </w:rPr>
        <w:t>6.1</w:t>
      </w:r>
      <w:r>
        <w:rPr>
          <w:rFonts w:eastAsia="仿宋_GB2312"/>
          <w:color w:val="000000"/>
          <w:kern w:val="0"/>
          <w:sz w:val="32"/>
          <w:szCs w:val="32"/>
        </w:rPr>
        <w:t>试验方案</w:t>
      </w:r>
    </w:p>
    <w:p w:rsidR="009A28FC" w:rsidRDefault="00401542">
      <w:pPr>
        <w:spacing w:line="520" w:lineRule="exact"/>
        <w:ind w:firstLineChars="200" w:firstLine="640"/>
        <w:rPr>
          <w:rFonts w:eastAsia="仿宋_GB2312"/>
          <w:color w:val="000000"/>
          <w:kern w:val="0"/>
          <w:sz w:val="32"/>
          <w:szCs w:val="32"/>
        </w:rPr>
      </w:pPr>
      <w:r>
        <w:rPr>
          <w:rFonts w:ascii="Times New Roman" w:eastAsia="仿宋_GB2312" w:hAnsi="Times New Roman" w:cs="Times New Roman"/>
          <w:color w:val="000000"/>
          <w:kern w:val="0"/>
          <w:sz w:val="32"/>
          <w:szCs w:val="32"/>
        </w:rPr>
        <w:t>6.1.1</w:t>
      </w:r>
      <w:proofErr w:type="gramStart"/>
      <w:r>
        <w:rPr>
          <w:rFonts w:eastAsia="仿宋_GB2312"/>
          <w:color w:val="000000"/>
          <w:kern w:val="0"/>
          <w:sz w:val="32"/>
          <w:szCs w:val="32"/>
        </w:rPr>
        <w:t>各</w:t>
      </w:r>
      <w:proofErr w:type="gramEnd"/>
      <w:r>
        <w:rPr>
          <w:rFonts w:eastAsia="仿宋_GB2312"/>
          <w:color w:val="000000"/>
          <w:kern w:val="0"/>
          <w:sz w:val="32"/>
          <w:szCs w:val="32"/>
        </w:rPr>
        <w:t>临床试验机构的方案</w:t>
      </w:r>
      <w:r>
        <w:rPr>
          <w:rFonts w:eastAsia="仿宋_GB2312" w:hint="eastAsia"/>
          <w:color w:val="000000"/>
          <w:kern w:val="0"/>
          <w:sz w:val="32"/>
          <w:szCs w:val="32"/>
        </w:rPr>
        <w:t>应执行同一临床试验方案</w:t>
      </w:r>
      <w:r>
        <w:rPr>
          <w:rFonts w:eastAsia="仿宋_GB2312"/>
          <w:color w:val="000000"/>
          <w:kern w:val="0"/>
          <w:sz w:val="32"/>
          <w:szCs w:val="32"/>
        </w:rPr>
        <w:t>，且保证在整个临床试验过程中遵循预定的方案实施，不可随意改动。需强调组织标本的标准采样、及时在</w:t>
      </w:r>
      <w:r>
        <w:rPr>
          <w:rFonts w:ascii="Times New Roman" w:eastAsia="仿宋_GB2312" w:hAnsi="Times New Roman" w:cs="Times New Roman"/>
          <w:color w:val="000000"/>
          <w:kern w:val="0"/>
          <w:sz w:val="32"/>
          <w:szCs w:val="32"/>
        </w:rPr>
        <w:t>10%</w:t>
      </w:r>
      <w:r>
        <w:rPr>
          <w:rFonts w:eastAsia="仿宋_GB2312"/>
          <w:color w:val="000000"/>
          <w:kern w:val="0"/>
          <w:sz w:val="32"/>
          <w:szCs w:val="32"/>
        </w:rPr>
        <w:t>中性缓冲福尔马林溶液中充分固定及其他标准操作程序。申报单位的技术人员除进行必要的技术指导外，不得随意干涉试验进程，尤其是数据收集过程。</w:t>
      </w:r>
    </w:p>
    <w:p w:rsidR="009A28FC" w:rsidRDefault="00401542">
      <w:pPr>
        <w:spacing w:line="520" w:lineRule="exact"/>
        <w:ind w:firstLineChars="200" w:firstLine="640"/>
        <w:rPr>
          <w:rFonts w:eastAsia="仿宋_GB2312"/>
          <w:color w:val="000000"/>
          <w:kern w:val="0"/>
          <w:sz w:val="32"/>
          <w:szCs w:val="32"/>
        </w:rPr>
      </w:pPr>
      <w:r>
        <w:rPr>
          <w:rFonts w:ascii="Times New Roman" w:eastAsia="仿宋_GB2312" w:hAnsi="Times New Roman" w:cs="Times New Roman"/>
          <w:color w:val="000000"/>
          <w:kern w:val="0"/>
          <w:sz w:val="32"/>
          <w:szCs w:val="32"/>
        </w:rPr>
        <w:t>6.1.2</w:t>
      </w:r>
      <w:r>
        <w:rPr>
          <w:rFonts w:eastAsia="仿宋_GB2312"/>
          <w:color w:val="000000"/>
          <w:kern w:val="0"/>
          <w:sz w:val="32"/>
          <w:szCs w:val="32"/>
        </w:rPr>
        <w:t>以图表的形式对试验总体设计及工作流程进行描述，图表中应包括连续切片的数量及用途分配等。各临床试验机构选用的对比试剂应保持一致，以便进行合理的统计学分析。</w:t>
      </w:r>
    </w:p>
    <w:p w:rsidR="009A28FC" w:rsidRDefault="00401542">
      <w:pPr>
        <w:spacing w:line="520" w:lineRule="exact"/>
        <w:ind w:firstLineChars="200" w:firstLine="640"/>
        <w:rPr>
          <w:rFonts w:eastAsia="仿宋_GB2312"/>
          <w:color w:val="000000"/>
          <w:kern w:val="0"/>
          <w:sz w:val="32"/>
          <w:szCs w:val="32"/>
        </w:rPr>
      </w:pPr>
      <w:r>
        <w:rPr>
          <w:rFonts w:ascii="Times New Roman" w:eastAsia="仿宋_GB2312" w:hAnsi="Times New Roman" w:cs="Times New Roman"/>
          <w:color w:val="000000"/>
          <w:kern w:val="0"/>
          <w:sz w:val="32"/>
          <w:szCs w:val="32"/>
        </w:rPr>
        <w:lastRenderedPageBreak/>
        <w:t>6.1.3</w:t>
      </w:r>
      <w:r>
        <w:rPr>
          <w:rFonts w:eastAsia="仿宋_GB2312"/>
          <w:color w:val="000000"/>
          <w:kern w:val="0"/>
          <w:sz w:val="32"/>
          <w:szCs w:val="32"/>
        </w:rPr>
        <w:t>试验方案中应确定严格的病例纳入</w:t>
      </w:r>
      <w:r>
        <w:rPr>
          <w:rFonts w:eastAsia="仿宋_GB2312"/>
          <w:color w:val="000000"/>
          <w:kern w:val="0"/>
          <w:sz w:val="32"/>
          <w:szCs w:val="32"/>
        </w:rPr>
        <w:t>/</w:t>
      </w:r>
      <w:r>
        <w:rPr>
          <w:rFonts w:eastAsia="仿宋_GB2312"/>
          <w:color w:val="000000"/>
          <w:kern w:val="0"/>
          <w:sz w:val="32"/>
          <w:szCs w:val="32"/>
        </w:rPr>
        <w:t>排除选择标准，任何已经入选的病例再被</w:t>
      </w:r>
      <w:r>
        <w:rPr>
          <w:rFonts w:eastAsia="仿宋_GB2312" w:hint="eastAsia"/>
          <w:color w:val="000000"/>
          <w:kern w:val="0"/>
          <w:sz w:val="32"/>
          <w:szCs w:val="32"/>
        </w:rPr>
        <w:t>剔</w:t>
      </w:r>
      <w:r>
        <w:rPr>
          <w:rFonts w:eastAsia="仿宋_GB2312"/>
          <w:color w:val="000000"/>
          <w:kern w:val="0"/>
          <w:sz w:val="32"/>
          <w:szCs w:val="32"/>
        </w:rPr>
        <w:t>除出临床试验都应记录在案，并明确说明原因。</w:t>
      </w:r>
    </w:p>
    <w:p w:rsidR="009A28FC" w:rsidRDefault="00401542">
      <w:pPr>
        <w:spacing w:line="520" w:lineRule="exact"/>
        <w:ind w:firstLineChars="200" w:firstLine="640"/>
        <w:rPr>
          <w:rFonts w:eastAsia="仿宋_GB2312"/>
          <w:color w:val="000000"/>
          <w:kern w:val="0"/>
          <w:sz w:val="32"/>
          <w:szCs w:val="32"/>
        </w:rPr>
      </w:pPr>
      <w:r>
        <w:rPr>
          <w:rFonts w:ascii="Times New Roman" w:eastAsia="仿宋_GB2312" w:hAnsi="Times New Roman" w:cs="Times New Roman"/>
          <w:color w:val="000000"/>
          <w:kern w:val="0"/>
          <w:sz w:val="32"/>
          <w:szCs w:val="32"/>
        </w:rPr>
        <w:t>6.1.4</w:t>
      </w:r>
      <w:r>
        <w:rPr>
          <w:rFonts w:eastAsia="仿宋_GB2312"/>
          <w:color w:val="000000"/>
          <w:kern w:val="0"/>
          <w:sz w:val="32"/>
          <w:szCs w:val="32"/>
        </w:rPr>
        <w:t>试验方案中应明确阅片者、操作者的选择标准。阅片者应选择在免疫组织化学、荧光原位</w:t>
      </w:r>
      <w:r>
        <w:rPr>
          <w:rFonts w:eastAsia="仿宋_GB2312"/>
          <w:color w:val="000000"/>
          <w:kern w:val="0"/>
          <w:sz w:val="32"/>
          <w:szCs w:val="32"/>
        </w:rPr>
        <w:t>杂交技术应用和乳腺癌</w:t>
      </w:r>
      <w:r>
        <w:rPr>
          <w:rFonts w:eastAsia="仿宋_GB2312"/>
          <w:color w:val="000000"/>
          <w:kern w:val="0"/>
          <w:sz w:val="32"/>
          <w:szCs w:val="32"/>
        </w:rPr>
        <w:t>/</w:t>
      </w:r>
      <w:r>
        <w:rPr>
          <w:rFonts w:eastAsia="仿宋_GB2312"/>
          <w:color w:val="000000"/>
          <w:kern w:val="0"/>
          <w:sz w:val="32"/>
          <w:szCs w:val="32"/>
        </w:rPr>
        <w:t>胃癌病理诊断中有丰富经验的医学工作者。</w:t>
      </w:r>
    </w:p>
    <w:p w:rsidR="009A28FC" w:rsidRDefault="00401542">
      <w:pPr>
        <w:spacing w:line="520" w:lineRule="exact"/>
        <w:ind w:firstLineChars="200" w:firstLine="640"/>
        <w:rPr>
          <w:rFonts w:eastAsia="仿宋_GB2312"/>
          <w:color w:val="000000"/>
          <w:kern w:val="0"/>
          <w:sz w:val="32"/>
          <w:szCs w:val="32"/>
        </w:rPr>
      </w:pPr>
      <w:r>
        <w:rPr>
          <w:rFonts w:ascii="Times New Roman" w:eastAsia="仿宋_GB2312" w:hAnsi="Times New Roman" w:cs="Times New Roman"/>
          <w:color w:val="000000"/>
          <w:kern w:val="0"/>
          <w:sz w:val="32"/>
          <w:szCs w:val="32"/>
        </w:rPr>
        <w:t>6.1.5</w:t>
      </w:r>
      <w:r>
        <w:rPr>
          <w:rFonts w:eastAsia="仿宋_GB2312"/>
          <w:color w:val="000000"/>
          <w:kern w:val="0"/>
          <w:sz w:val="32"/>
          <w:szCs w:val="32"/>
        </w:rPr>
        <w:t>在试验操作过程中和判定检测结果时应</w:t>
      </w:r>
      <w:proofErr w:type="gramStart"/>
      <w:r>
        <w:rPr>
          <w:rFonts w:eastAsia="仿宋_GB2312"/>
          <w:color w:val="000000"/>
          <w:kern w:val="0"/>
          <w:sz w:val="32"/>
          <w:szCs w:val="32"/>
        </w:rPr>
        <w:t>采用盲法以</w:t>
      </w:r>
      <w:proofErr w:type="gramEnd"/>
      <w:r>
        <w:rPr>
          <w:rFonts w:eastAsia="仿宋_GB2312"/>
          <w:color w:val="000000"/>
          <w:kern w:val="0"/>
          <w:sz w:val="32"/>
          <w:szCs w:val="32"/>
        </w:rPr>
        <w:t>保证试验结果的客观性。临床试验研究方案中应</w:t>
      </w:r>
      <w:proofErr w:type="gramStart"/>
      <w:r>
        <w:rPr>
          <w:rFonts w:eastAsia="仿宋_GB2312"/>
          <w:color w:val="000000"/>
          <w:kern w:val="0"/>
          <w:sz w:val="32"/>
          <w:szCs w:val="32"/>
        </w:rPr>
        <w:t>详述盲法的</w:t>
      </w:r>
      <w:proofErr w:type="gramEnd"/>
      <w:r>
        <w:rPr>
          <w:rFonts w:eastAsia="仿宋_GB2312"/>
          <w:color w:val="000000"/>
          <w:kern w:val="0"/>
          <w:sz w:val="32"/>
          <w:szCs w:val="32"/>
        </w:rPr>
        <w:t>具体操作流程。</w:t>
      </w:r>
    </w:p>
    <w:p w:rsidR="009A28FC" w:rsidRDefault="00401542">
      <w:pPr>
        <w:spacing w:line="520" w:lineRule="exact"/>
        <w:ind w:firstLineChars="200" w:firstLine="640"/>
        <w:rPr>
          <w:rFonts w:eastAsia="仿宋_GB2312"/>
          <w:color w:val="000000"/>
          <w:kern w:val="0"/>
          <w:sz w:val="32"/>
          <w:szCs w:val="32"/>
        </w:rPr>
      </w:pPr>
      <w:r>
        <w:rPr>
          <w:rFonts w:ascii="Times New Roman" w:eastAsia="仿宋_GB2312" w:hAnsi="Times New Roman" w:cs="Times New Roman"/>
          <w:color w:val="000000"/>
          <w:kern w:val="0"/>
          <w:sz w:val="32"/>
          <w:szCs w:val="32"/>
        </w:rPr>
        <w:t>6.1.6</w:t>
      </w:r>
      <w:r>
        <w:rPr>
          <w:rFonts w:eastAsia="仿宋_GB2312"/>
          <w:color w:val="000000"/>
          <w:kern w:val="0"/>
          <w:sz w:val="32"/>
          <w:szCs w:val="32"/>
        </w:rPr>
        <w:t>在整个试验中，试验用体外诊断试剂和对比试剂都应处于有效的质量控制下，最大限度保证试验数据的准确性及可重复性。临床试验研究方案中应明确质</w:t>
      </w:r>
      <w:proofErr w:type="gramStart"/>
      <w:r>
        <w:rPr>
          <w:rFonts w:eastAsia="仿宋_GB2312"/>
          <w:color w:val="000000"/>
          <w:kern w:val="0"/>
          <w:sz w:val="32"/>
          <w:szCs w:val="32"/>
        </w:rPr>
        <w:t>控方法</w:t>
      </w:r>
      <w:proofErr w:type="gramEnd"/>
      <w:r>
        <w:rPr>
          <w:rFonts w:eastAsia="仿宋_GB2312"/>
          <w:color w:val="000000"/>
          <w:kern w:val="0"/>
          <w:sz w:val="32"/>
          <w:szCs w:val="32"/>
        </w:rPr>
        <w:t>及配合用质控试剂的详细信息。</w:t>
      </w:r>
    </w:p>
    <w:p w:rsidR="009A28FC" w:rsidRDefault="00401542">
      <w:pPr>
        <w:spacing w:line="520" w:lineRule="exact"/>
        <w:ind w:firstLineChars="200" w:firstLine="640"/>
        <w:rPr>
          <w:rFonts w:eastAsia="仿宋_GB2312"/>
          <w:color w:val="000000"/>
          <w:kern w:val="0"/>
          <w:sz w:val="32"/>
          <w:szCs w:val="32"/>
        </w:rPr>
      </w:pPr>
      <w:r>
        <w:rPr>
          <w:rFonts w:ascii="Times New Roman" w:eastAsia="仿宋_GB2312" w:hAnsi="Times New Roman" w:cs="Times New Roman"/>
          <w:color w:val="000000"/>
          <w:kern w:val="0"/>
          <w:sz w:val="32"/>
          <w:szCs w:val="32"/>
        </w:rPr>
        <w:t>6.2</w:t>
      </w:r>
      <w:r>
        <w:rPr>
          <w:rFonts w:eastAsia="仿宋_GB2312"/>
          <w:color w:val="000000"/>
          <w:kern w:val="0"/>
          <w:sz w:val="32"/>
          <w:szCs w:val="32"/>
        </w:rPr>
        <w:t>质量控制</w:t>
      </w:r>
    </w:p>
    <w:p w:rsidR="009A28FC" w:rsidRDefault="00401542">
      <w:pPr>
        <w:spacing w:line="520" w:lineRule="exact"/>
        <w:ind w:firstLineChars="200" w:firstLine="640"/>
        <w:rPr>
          <w:rFonts w:eastAsia="仿宋_GB2312"/>
          <w:color w:val="000000"/>
          <w:kern w:val="0"/>
          <w:sz w:val="32"/>
          <w:szCs w:val="32"/>
        </w:rPr>
      </w:pPr>
      <w:r>
        <w:rPr>
          <w:rFonts w:eastAsia="仿宋_GB2312"/>
          <w:color w:val="000000"/>
          <w:kern w:val="0"/>
          <w:sz w:val="32"/>
          <w:szCs w:val="32"/>
        </w:rPr>
        <w:t>由于检测前预处理步骤较多，导致判读结果可能会在试验人员间、实验室间产生差异。为了客观单一评价试剂性能，尽量减少这种人为差异对最终结果造成的影响，临床试验开始前，各临床试验机构应统一操作方法，进行判读一致性训练及统一的质量控制，确保同样的样本在不同机构之间的判读结果保持一致。注意</w:t>
      </w:r>
      <w:r>
        <w:rPr>
          <w:rFonts w:eastAsia="仿宋_GB2312" w:hint="eastAsia"/>
          <w:color w:val="000000"/>
          <w:kern w:val="0"/>
          <w:sz w:val="32"/>
          <w:szCs w:val="32"/>
        </w:rPr>
        <w:t>判读</w:t>
      </w:r>
      <w:r>
        <w:rPr>
          <w:rFonts w:eastAsia="仿宋_GB2312"/>
          <w:color w:val="000000"/>
          <w:kern w:val="0"/>
          <w:sz w:val="32"/>
          <w:szCs w:val="32"/>
        </w:rPr>
        <w:t>方法与说明书保持一致，应包含</w:t>
      </w:r>
      <w:r>
        <w:rPr>
          <w:rFonts w:ascii="Times New Roman" w:eastAsia="仿宋_GB2312" w:hAnsi="Times New Roman" w:cs="Times New Roman"/>
          <w:color w:val="000000"/>
          <w:kern w:val="0"/>
          <w:sz w:val="32"/>
          <w:szCs w:val="32"/>
        </w:rPr>
        <w:t>IHC</w:t>
      </w:r>
      <w:r>
        <w:rPr>
          <w:rFonts w:eastAsia="仿宋_GB2312"/>
          <w:color w:val="000000"/>
          <w:kern w:val="0"/>
          <w:sz w:val="32"/>
          <w:szCs w:val="32"/>
        </w:rPr>
        <w:t>以及</w:t>
      </w:r>
      <w:r>
        <w:rPr>
          <w:rFonts w:ascii="Times New Roman" w:eastAsia="仿宋_GB2312" w:hAnsi="Times New Roman" w:cs="Times New Roman"/>
          <w:color w:val="000000"/>
          <w:kern w:val="0"/>
          <w:sz w:val="32"/>
          <w:szCs w:val="32"/>
        </w:rPr>
        <w:t>FISH</w:t>
      </w:r>
      <w:r>
        <w:rPr>
          <w:rFonts w:eastAsia="仿宋_GB2312"/>
          <w:color w:val="000000"/>
          <w:kern w:val="0"/>
          <w:sz w:val="32"/>
          <w:szCs w:val="32"/>
        </w:rPr>
        <w:t>检测结果为阴性、阳性和不确定的样本。</w:t>
      </w:r>
    </w:p>
    <w:p w:rsidR="009A28FC" w:rsidRDefault="00401542">
      <w:pPr>
        <w:spacing w:line="520" w:lineRule="exact"/>
        <w:ind w:firstLineChars="200" w:firstLine="640"/>
        <w:rPr>
          <w:rFonts w:eastAsia="仿宋_GB2312"/>
          <w:sz w:val="32"/>
          <w:szCs w:val="32"/>
        </w:rPr>
      </w:pPr>
      <w:r>
        <w:rPr>
          <w:rFonts w:ascii="Times New Roman" w:eastAsia="仿宋_GB2312" w:hAnsi="Times New Roman" w:cs="Times New Roman"/>
          <w:sz w:val="32"/>
          <w:szCs w:val="32"/>
        </w:rPr>
        <w:t>6.3</w:t>
      </w:r>
      <w:r>
        <w:rPr>
          <w:rFonts w:eastAsia="仿宋_GB2312"/>
          <w:sz w:val="32"/>
          <w:szCs w:val="32"/>
        </w:rPr>
        <w:t>临床试验报告</w:t>
      </w:r>
    </w:p>
    <w:p w:rsidR="009A28FC" w:rsidRDefault="00401542">
      <w:pPr>
        <w:spacing w:line="520" w:lineRule="exact"/>
        <w:ind w:firstLineChars="200" w:firstLine="640"/>
        <w:rPr>
          <w:rFonts w:eastAsia="仿宋_GB2312"/>
          <w:sz w:val="32"/>
          <w:szCs w:val="32"/>
        </w:rPr>
      </w:pPr>
      <w:r>
        <w:rPr>
          <w:rFonts w:eastAsia="仿宋_GB2312"/>
          <w:sz w:val="32"/>
          <w:szCs w:val="32"/>
        </w:rPr>
        <w:t>临床试验报告应对试验的整体设计及各个关键点给予清晰、完整的阐述，应对整个临床试验实施过程、结果分析、结论等进</w:t>
      </w:r>
      <w:r>
        <w:rPr>
          <w:rFonts w:eastAsia="仿宋_GB2312"/>
          <w:sz w:val="32"/>
          <w:szCs w:val="32"/>
        </w:rPr>
        <w:lastRenderedPageBreak/>
        <w:t>行条理分明的描述，</w:t>
      </w:r>
      <w:r>
        <w:rPr>
          <w:rFonts w:eastAsia="仿宋_GB2312"/>
          <w:sz w:val="32"/>
          <w:szCs w:val="32"/>
        </w:rPr>
        <w:t>并应包括必要的基础数据和统计分析方法。临床试验报告的撰写应参考相关法规的要求</w:t>
      </w:r>
      <w:r>
        <w:rPr>
          <w:rFonts w:eastAsia="仿宋_GB2312" w:hint="eastAsia"/>
          <w:sz w:val="32"/>
          <w:szCs w:val="32"/>
        </w:rPr>
        <w:t>。</w:t>
      </w:r>
    </w:p>
    <w:p w:rsidR="009A28FC" w:rsidRDefault="00401542">
      <w:pPr>
        <w:spacing w:line="520" w:lineRule="exact"/>
        <w:ind w:firstLineChars="200" w:firstLine="640"/>
        <w:rPr>
          <w:rFonts w:eastAsia="仿宋_GB2312"/>
          <w:sz w:val="32"/>
          <w:szCs w:val="32"/>
        </w:rPr>
      </w:pPr>
      <w:r>
        <w:rPr>
          <w:rFonts w:eastAsia="仿宋_GB2312"/>
          <w:sz w:val="32"/>
          <w:szCs w:val="32"/>
        </w:rPr>
        <w:t>数据汇总表中应提供唯一可溯源的样本编号、基本人口学信息（性别、年龄等）、临床诊断背景信息、</w:t>
      </w:r>
      <w:r>
        <w:rPr>
          <w:rFonts w:eastAsia="仿宋_GB2312" w:hint="eastAsia"/>
          <w:sz w:val="32"/>
          <w:szCs w:val="32"/>
        </w:rPr>
        <w:t>样</w:t>
      </w:r>
      <w:r>
        <w:rPr>
          <w:rFonts w:eastAsia="仿宋_GB2312"/>
          <w:sz w:val="32"/>
          <w:szCs w:val="32"/>
        </w:rPr>
        <w:t>本的采集部位、</w:t>
      </w:r>
      <w:r>
        <w:rPr>
          <w:rFonts w:eastAsia="仿宋_GB2312" w:hint="eastAsia"/>
          <w:sz w:val="32"/>
          <w:szCs w:val="32"/>
        </w:rPr>
        <w:t>样</w:t>
      </w:r>
      <w:r>
        <w:rPr>
          <w:rFonts w:eastAsia="仿宋_GB2312"/>
          <w:sz w:val="32"/>
          <w:szCs w:val="32"/>
        </w:rPr>
        <w:t>本类型</w:t>
      </w:r>
      <w:r>
        <w:rPr>
          <w:rFonts w:eastAsia="仿宋_GB2312" w:hint="eastAsia"/>
          <w:sz w:val="32"/>
          <w:szCs w:val="32"/>
        </w:rPr>
        <w:t>（手术标本或活检标本）</w:t>
      </w:r>
      <w:r>
        <w:rPr>
          <w:rFonts w:eastAsia="仿宋_GB2312"/>
          <w:sz w:val="32"/>
          <w:szCs w:val="32"/>
        </w:rPr>
        <w:t>、病理诊断结果、</w:t>
      </w:r>
      <w:r>
        <w:rPr>
          <w:rFonts w:ascii="Times New Roman" w:eastAsia="仿宋_GB2312" w:hAnsi="Times New Roman" w:cs="Times New Roman"/>
          <w:sz w:val="32"/>
          <w:szCs w:val="32"/>
        </w:rPr>
        <w:t>HE</w:t>
      </w:r>
      <w:r>
        <w:rPr>
          <w:rFonts w:eastAsia="仿宋_GB2312"/>
          <w:sz w:val="32"/>
          <w:szCs w:val="32"/>
        </w:rPr>
        <w:t>染色结果、免疫组织化学检测结果、考核试剂检测结果、对比试剂检测结果、第三方复核结果</w:t>
      </w:r>
      <w:r>
        <w:rPr>
          <w:rFonts w:eastAsia="仿宋_GB2312" w:hint="eastAsia"/>
          <w:sz w:val="32"/>
          <w:szCs w:val="32"/>
        </w:rPr>
        <w:t>（如有）</w:t>
      </w:r>
      <w:r>
        <w:rPr>
          <w:rFonts w:eastAsia="仿宋_GB2312"/>
          <w:sz w:val="32"/>
          <w:szCs w:val="32"/>
        </w:rPr>
        <w:t>。所有采用原位杂交法的检测结果均应包含评估的细胞数量、</w:t>
      </w:r>
      <w:r>
        <w:rPr>
          <w:rFonts w:ascii="Times New Roman" w:eastAsia="仿宋_GB2312" w:hAnsi="Times New Roman" w:cs="Times New Roman"/>
          <w:sz w:val="32"/>
          <w:szCs w:val="32"/>
        </w:rPr>
        <w:t>HER2</w:t>
      </w:r>
      <w:r>
        <w:rPr>
          <w:rFonts w:eastAsia="仿宋_GB2312"/>
          <w:sz w:val="32"/>
          <w:szCs w:val="32"/>
        </w:rPr>
        <w:t>基因</w:t>
      </w:r>
      <w:r>
        <w:rPr>
          <w:rFonts w:eastAsia="仿宋_GB2312"/>
          <w:sz w:val="32"/>
          <w:szCs w:val="32"/>
        </w:rPr>
        <w:t>/</w:t>
      </w:r>
      <w:r>
        <w:rPr>
          <w:rFonts w:ascii="Times New Roman" w:eastAsia="仿宋_GB2312" w:hAnsi="Times New Roman" w:cs="Times New Roman"/>
          <w:sz w:val="32"/>
          <w:szCs w:val="32"/>
        </w:rPr>
        <w:t>CEP17</w:t>
      </w:r>
      <w:r>
        <w:rPr>
          <w:rFonts w:eastAsia="仿宋_GB2312"/>
          <w:sz w:val="32"/>
          <w:szCs w:val="32"/>
        </w:rPr>
        <w:t>荧光信号比值（双探针适用）、每个细胞的平均</w:t>
      </w:r>
      <w:r>
        <w:rPr>
          <w:rFonts w:ascii="Times New Roman" w:eastAsia="仿宋_GB2312" w:hAnsi="Times New Roman" w:cs="Times New Roman"/>
          <w:sz w:val="32"/>
          <w:szCs w:val="32"/>
        </w:rPr>
        <w:t>HER2</w:t>
      </w:r>
      <w:r>
        <w:rPr>
          <w:rFonts w:eastAsia="仿宋_GB2312"/>
          <w:sz w:val="32"/>
          <w:szCs w:val="32"/>
        </w:rPr>
        <w:t>拷贝数、每个细胞的平均</w:t>
      </w:r>
      <w:r>
        <w:rPr>
          <w:rFonts w:ascii="Times New Roman" w:eastAsia="仿宋_GB2312" w:hAnsi="Times New Roman" w:cs="Times New Roman"/>
          <w:sz w:val="32"/>
          <w:szCs w:val="32"/>
        </w:rPr>
        <w:t>CEP17</w:t>
      </w:r>
      <w:r>
        <w:rPr>
          <w:rFonts w:eastAsia="仿宋_GB2312"/>
          <w:sz w:val="32"/>
          <w:szCs w:val="32"/>
        </w:rPr>
        <w:t>拷贝数（双探针适用）和定性判读结果。</w:t>
      </w:r>
      <w:r>
        <w:rPr>
          <w:rFonts w:eastAsia="仿宋_GB2312" w:hint="eastAsia"/>
          <w:sz w:val="32"/>
          <w:szCs w:val="32"/>
        </w:rPr>
        <w:t>应</w:t>
      </w:r>
      <w:r>
        <w:rPr>
          <w:rFonts w:eastAsia="仿宋_GB2312"/>
          <w:sz w:val="32"/>
          <w:szCs w:val="32"/>
        </w:rPr>
        <w:t>提交入选样本结果的代表性彩色图片</w:t>
      </w:r>
      <w:r>
        <w:rPr>
          <w:rFonts w:eastAsia="仿宋_GB2312" w:hint="eastAsia"/>
          <w:sz w:val="32"/>
          <w:szCs w:val="32"/>
        </w:rPr>
        <w:t>，原始图谱应包含阴性、阳性、不确定结果、点状、簇状样本图谱，并标注详细的判断结果。</w:t>
      </w:r>
    </w:p>
    <w:p w:rsidR="009A28FC" w:rsidRDefault="00401542">
      <w:pPr>
        <w:spacing w:line="520" w:lineRule="exact"/>
        <w:ind w:rightChars="-32" w:right="-67" w:firstLineChars="200" w:firstLine="640"/>
        <w:rPr>
          <w:rFonts w:ascii="Times New Roman" w:eastAsia="楷体_GB2312" w:hAnsi="Times New Roman" w:cs="Times New Roman"/>
          <w:color w:val="000000"/>
          <w:sz w:val="32"/>
          <w:szCs w:val="32"/>
        </w:rPr>
      </w:pPr>
      <w:r>
        <w:rPr>
          <w:rFonts w:ascii="Times New Roman" w:eastAsia="楷体_GB2312" w:hAnsi="Times New Roman" w:cs="Times New Roman"/>
          <w:color w:val="000000"/>
          <w:sz w:val="32"/>
          <w:szCs w:val="32"/>
        </w:rPr>
        <w:t>（五）产品说明书和标签样稿</w:t>
      </w:r>
    </w:p>
    <w:p w:rsidR="009A28FC" w:rsidRDefault="00401542">
      <w:pPr>
        <w:spacing w:line="520" w:lineRule="exact"/>
        <w:ind w:firstLineChars="200" w:firstLine="640"/>
        <w:rPr>
          <w:rFonts w:ascii="Times New Roman" w:eastAsia="仿宋_GB2312" w:hAnsi="Times New Roman" w:cs="宋体"/>
          <w:color w:val="000000"/>
          <w:sz w:val="32"/>
          <w:szCs w:val="32"/>
        </w:rPr>
      </w:pPr>
      <w:r>
        <w:rPr>
          <w:rFonts w:ascii="Times New Roman" w:eastAsia="仿宋_GB2312" w:hAnsi="Times New Roman" w:cs="宋体" w:hint="eastAsia"/>
          <w:color w:val="000000"/>
          <w:sz w:val="32"/>
          <w:szCs w:val="32"/>
        </w:rPr>
        <w:t>产</w:t>
      </w:r>
      <w:r>
        <w:rPr>
          <w:rFonts w:ascii="Times New Roman" w:eastAsia="仿宋_GB2312" w:hAnsi="Times New Roman"/>
          <w:sz w:val="32"/>
          <w:szCs w:val="32"/>
        </w:rPr>
        <w:t>品说明书格式应满足《体外诊断试剂说明书编写指导原则》的要求。产品说明书中技术内容应与注册申报资料中的相关研究结果保持一致，如某些内容引用自参考文献，应以规范格式进行标注，并单独列明文献的相关信息。</w:t>
      </w:r>
      <w:r>
        <w:rPr>
          <w:rFonts w:ascii="Times New Roman" w:eastAsia="仿宋_GB2312" w:hAnsi="Times New Roman" w:cs="宋体" w:hint="eastAsia"/>
          <w:color w:val="000000"/>
          <w:sz w:val="32"/>
          <w:szCs w:val="32"/>
        </w:rPr>
        <w:t>人表皮生长因子受体</w:t>
      </w:r>
      <w:r>
        <w:rPr>
          <w:rFonts w:ascii="Times New Roman" w:eastAsia="仿宋_GB2312" w:hAnsi="Times New Roman" w:cs="宋体" w:hint="eastAsia"/>
          <w:color w:val="000000"/>
          <w:sz w:val="32"/>
          <w:szCs w:val="32"/>
        </w:rPr>
        <w:t>2</w:t>
      </w:r>
      <w:r>
        <w:rPr>
          <w:rFonts w:ascii="Times New Roman" w:eastAsia="仿宋_GB2312" w:hAnsi="Times New Roman" w:cs="宋体" w:hint="eastAsia"/>
          <w:color w:val="000000"/>
          <w:sz w:val="32"/>
          <w:szCs w:val="32"/>
        </w:rPr>
        <w:t>基因扩增检测试剂说明书</w:t>
      </w:r>
      <w:r>
        <w:rPr>
          <w:rFonts w:ascii="Times New Roman" w:eastAsia="仿宋_GB2312" w:hAnsi="Times New Roman"/>
          <w:sz w:val="32"/>
          <w:szCs w:val="32"/>
        </w:rPr>
        <w:t>编写应重点关注以下内容</w:t>
      </w:r>
      <w:r>
        <w:rPr>
          <w:rFonts w:ascii="Times New Roman" w:eastAsia="仿宋_GB2312" w:hAnsi="Times New Roman" w:hint="eastAsia"/>
          <w:sz w:val="32"/>
          <w:szCs w:val="32"/>
        </w:rPr>
        <w:t>：</w:t>
      </w:r>
    </w:p>
    <w:p w:rsidR="009A28FC" w:rsidRDefault="00401542">
      <w:pPr>
        <w:spacing w:line="52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1.</w:t>
      </w:r>
      <w:r>
        <w:rPr>
          <w:rFonts w:ascii="Times New Roman" w:eastAsia="仿宋_GB2312" w:hAnsi="Times New Roman"/>
          <w:sz w:val="32"/>
          <w:szCs w:val="32"/>
        </w:rPr>
        <w:t>【预期用途】</w:t>
      </w:r>
      <w:r>
        <w:rPr>
          <w:rFonts w:ascii="Times New Roman" w:eastAsia="仿宋_GB2312" w:hAnsi="Times New Roman"/>
          <w:sz w:val="32"/>
          <w:szCs w:val="32"/>
        </w:rPr>
        <w:t xml:space="preserve"> </w:t>
      </w:r>
      <w:r>
        <w:rPr>
          <w:rFonts w:ascii="Times New Roman" w:eastAsia="仿宋_GB2312" w:hAnsi="Times New Roman"/>
          <w:sz w:val="32"/>
          <w:szCs w:val="32"/>
        </w:rPr>
        <w:t>应至少包括以下内容：</w:t>
      </w:r>
    </w:p>
    <w:p w:rsidR="009A28FC" w:rsidRDefault="00401542">
      <w:pPr>
        <w:spacing w:line="52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1.1</w:t>
      </w:r>
      <w:r>
        <w:rPr>
          <w:rFonts w:ascii="Times New Roman" w:eastAsia="仿宋_GB2312" w:hAnsi="Times New Roman"/>
          <w:color w:val="000000"/>
          <w:kern w:val="0"/>
          <w:sz w:val="32"/>
          <w:szCs w:val="32"/>
        </w:rPr>
        <w:t>试剂</w:t>
      </w:r>
      <w:proofErr w:type="gramStart"/>
      <w:r>
        <w:rPr>
          <w:rFonts w:ascii="Times New Roman" w:eastAsia="仿宋_GB2312" w:hAnsi="Times New Roman"/>
          <w:color w:val="000000"/>
          <w:kern w:val="0"/>
          <w:sz w:val="32"/>
          <w:szCs w:val="32"/>
        </w:rPr>
        <w:t>盒用于</w:t>
      </w:r>
      <w:proofErr w:type="gramEnd"/>
      <w:r>
        <w:rPr>
          <w:rFonts w:ascii="Times New Roman" w:eastAsia="仿宋_GB2312" w:hAnsi="Times New Roman"/>
          <w:color w:val="000000"/>
          <w:kern w:val="0"/>
          <w:sz w:val="32"/>
          <w:szCs w:val="32"/>
        </w:rPr>
        <w:t>体外定性</w:t>
      </w:r>
      <w:r>
        <w:rPr>
          <w:rFonts w:ascii="Times New Roman" w:eastAsia="仿宋_GB2312" w:hAnsi="Times New Roman"/>
          <w:color w:val="000000"/>
          <w:kern w:val="0"/>
          <w:sz w:val="32"/>
          <w:szCs w:val="32"/>
        </w:rPr>
        <w:t>检测经</w:t>
      </w:r>
      <w:r>
        <w:rPr>
          <w:rFonts w:ascii="Times New Roman" w:eastAsia="仿宋_GB2312" w:hAnsi="Times New Roman"/>
          <w:color w:val="000000"/>
          <w:kern w:val="0"/>
          <w:sz w:val="32"/>
          <w:szCs w:val="32"/>
        </w:rPr>
        <w:t>10%</w:t>
      </w:r>
      <w:r>
        <w:rPr>
          <w:rFonts w:ascii="Times New Roman" w:eastAsia="仿宋_GB2312" w:hAnsi="Times New Roman"/>
          <w:color w:val="000000"/>
          <w:kern w:val="0"/>
          <w:sz w:val="32"/>
          <w:szCs w:val="32"/>
        </w:rPr>
        <w:t>中性缓冲福尔马林固定石蜡包埋乳腺癌和</w:t>
      </w:r>
      <w:r>
        <w:rPr>
          <w:rFonts w:ascii="Times New Roman" w:eastAsia="仿宋_GB2312" w:hAnsi="Times New Roman"/>
          <w:color w:val="000000"/>
          <w:kern w:val="0"/>
          <w:sz w:val="32"/>
          <w:szCs w:val="32"/>
        </w:rPr>
        <w:t>/</w:t>
      </w:r>
      <w:r>
        <w:rPr>
          <w:rFonts w:ascii="Times New Roman" w:eastAsia="仿宋_GB2312" w:hAnsi="Times New Roman"/>
          <w:color w:val="000000"/>
          <w:kern w:val="0"/>
          <w:sz w:val="32"/>
          <w:szCs w:val="32"/>
        </w:rPr>
        <w:t>或胃癌</w:t>
      </w:r>
      <w:r>
        <w:rPr>
          <w:rFonts w:ascii="Times New Roman" w:eastAsia="仿宋_GB2312" w:hAnsi="Times New Roman" w:hint="eastAsia"/>
          <w:color w:val="000000"/>
          <w:kern w:val="0"/>
          <w:sz w:val="32"/>
          <w:szCs w:val="32"/>
        </w:rPr>
        <w:t>等</w:t>
      </w:r>
      <w:r>
        <w:rPr>
          <w:rFonts w:ascii="Times New Roman" w:eastAsia="仿宋_GB2312" w:hAnsi="Times New Roman"/>
          <w:color w:val="000000"/>
          <w:kern w:val="0"/>
          <w:sz w:val="32"/>
          <w:szCs w:val="32"/>
        </w:rPr>
        <w:t>组织切片中</w:t>
      </w:r>
      <w:r>
        <w:rPr>
          <w:rFonts w:ascii="Times New Roman" w:eastAsia="仿宋_GB2312" w:hAnsi="Times New Roman"/>
          <w:color w:val="000000"/>
          <w:kern w:val="0"/>
          <w:sz w:val="32"/>
          <w:szCs w:val="32"/>
        </w:rPr>
        <w:t>HER2</w:t>
      </w:r>
      <w:r>
        <w:rPr>
          <w:rFonts w:ascii="Times New Roman" w:eastAsia="仿宋_GB2312" w:hAnsi="Times New Roman"/>
          <w:color w:val="000000"/>
          <w:kern w:val="0"/>
          <w:sz w:val="32"/>
          <w:szCs w:val="32"/>
        </w:rPr>
        <w:t>基因的扩增情况。用于指导乳腺原发性浸润癌和</w:t>
      </w:r>
      <w:r>
        <w:rPr>
          <w:rFonts w:ascii="Times New Roman" w:eastAsia="仿宋_GB2312" w:hAnsi="Times New Roman"/>
          <w:color w:val="000000"/>
          <w:kern w:val="0"/>
          <w:sz w:val="32"/>
          <w:szCs w:val="32"/>
        </w:rPr>
        <w:t>/</w:t>
      </w:r>
      <w:r>
        <w:rPr>
          <w:rFonts w:ascii="Times New Roman" w:eastAsia="仿宋_GB2312" w:hAnsi="Times New Roman"/>
          <w:color w:val="000000"/>
          <w:kern w:val="0"/>
          <w:sz w:val="32"/>
          <w:szCs w:val="32"/>
        </w:rPr>
        <w:t>或胃及胃食管结合部腺癌</w:t>
      </w:r>
      <w:r>
        <w:rPr>
          <w:rFonts w:ascii="Times New Roman" w:eastAsia="仿宋_GB2312" w:hAnsi="Times New Roman" w:hint="eastAsia"/>
          <w:color w:val="000000"/>
          <w:kern w:val="0"/>
          <w:sz w:val="32"/>
          <w:szCs w:val="32"/>
        </w:rPr>
        <w:t>等</w:t>
      </w:r>
      <w:r>
        <w:rPr>
          <w:rFonts w:ascii="Times New Roman" w:eastAsia="仿宋_GB2312" w:hAnsi="Times New Roman"/>
          <w:color w:val="000000"/>
          <w:kern w:val="0"/>
          <w:sz w:val="32"/>
          <w:szCs w:val="32"/>
        </w:rPr>
        <w:t>的药物治疗。</w:t>
      </w:r>
    </w:p>
    <w:p w:rsidR="009A28FC" w:rsidRDefault="00401542">
      <w:pPr>
        <w:spacing w:line="52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1.2</w:t>
      </w:r>
      <w:r>
        <w:rPr>
          <w:rFonts w:ascii="Times New Roman" w:eastAsia="仿宋_GB2312" w:hAnsi="Times New Roman"/>
          <w:color w:val="000000"/>
          <w:kern w:val="0"/>
          <w:sz w:val="32"/>
          <w:szCs w:val="32"/>
        </w:rPr>
        <w:t>明确目标人群：例如对所有乳腺原发性</w:t>
      </w:r>
      <w:proofErr w:type="gramStart"/>
      <w:r>
        <w:rPr>
          <w:rFonts w:ascii="Times New Roman" w:eastAsia="仿宋_GB2312" w:hAnsi="Times New Roman"/>
          <w:color w:val="000000"/>
          <w:kern w:val="0"/>
          <w:sz w:val="32"/>
          <w:szCs w:val="32"/>
        </w:rPr>
        <w:t>浸润癌原发</w:t>
      </w:r>
      <w:proofErr w:type="gramEnd"/>
      <w:r>
        <w:rPr>
          <w:rFonts w:ascii="Times New Roman" w:eastAsia="仿宋_GB2312" w:hAnsi="Times New Roman"/>
          <w:color w:val="000000"/>
          <w:kern w:val="0"/>
          <w:sz w:val="32"/>
          <w:szCs w:val="32"/>
        </w:rPr>
        <w:t>灶、</w:t>
      </w:r>
      <w:proofErr w:type="gramStart"/>
      <w:r>
        <w:rPr>
          <w:rFonts w:ascii="Times New Roman" w:eastAsia="仿宋_GB2312" w:hAnsi="Times New Roman"/>
          <w:color w:val="000000"/>
          <w:kern w:val="0"/>
          <w:sz w:val="32"/>
          <w:szCs w:val="32"/>
        </w:rPr>
        <w:lastRenderedPageBreak/>
        <w:t>复发灶与转移</w:t>
      </w:r>
      <w:proofErr w:type="gramEnd"/>
      <w:r>
        <w:rPr>
          <w:rFonts w:ascii="Times New Roman" w:eastAsia="仿宋_GB2312" w:hAnsi="Times New Roman"/>
          <w:color w:val="000000"/>
          <w:kern w:val="0"/>
          <w:sz w:val="32"/>
          <w:szCs w:val="32"/>
        </w:rPr>
        <w:t>灶（如可以获取到足够的样本）</w:t>
      </w:r>
      <w:r>
        <w:rPr>
          <w:rFonts w:ascii="Times New Roman" w:eastAsia="仿宋_GB2312" w:hAnsi="Times New Roman" w:hint="eastAsia"/>
          <w:color w:val="000000"/>
          <w:kern w:val="0"/>
          <w:sz w:val="32"/>
          <w:szCs w:val="32"/>
        </w:rPr>
        <w:t>，</w:t>
      </w:r>
      <w:r>
        <w:rPr>
          <w:rFonts w:ascii="Times New Roman" w:eastAsia="仿宋_GB2312" w:hAnsi="Times New Roman"/>
          <w:color w:val="000000"/>
          <w:kern w:val="0"/>
          <w:sz w:val="32"/>
          <w:szCs w:val="32"/>
        </w:rPr>
        <w:t>所有经病理诊断证实为胃及胃食管结合部腺癌，新辅助治疗后病灶及</w:t>
      </w:r>
      <w:proofErr w:type="gramStart"/>
      <w:r>
        <w:rPr>
          <w:rFonts w:ascii="Times New Roman" w:eastAsia="仿宋_GB2312" w:hAnsi="Times New Roman"/>
          <w:color w:val="000000"/>
          <w:kern w:val="0"/>
          <w:sz w:val="32"/>
          <w:szCs w:val="32"/>
        </w:rPr>
        <w:t>复发灶与转移</w:t>
      </w:r>
      <w:proofErr w:type="gramEnd"/>
      <w:r>
        <w:rPr>
          <w:rFonts w:ascii="Times New Roman" w:eastAsia="仿宋_GB2312" w:hAnsi="Times New Roman"/>
          <w:color w:val="000000"/>
          <w:kern w:val="0"/>
          <w:sz w:val="32"/>
          <w:szCs w:val="32"/>
        </w:rPr>
        <w:t>灶（如可以获取到足够的样本）进行检测。因肿瘤个体化诊疗研究和发展不断深入，该目标人群可能随着个体化治疗药物和试剂的研究和发展而发生变化，建议申请人参照最新指南或专家共识设定申报产品的目标人群。</w:t>
      </w:r>
    </w:p>
    <w:p w:rsidR="009A28FC" w:rsidRDefault="00401542">
      <w:pPr>
        <w:spacing w:line="52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1.3</w:t>
      </w:r>
      <w:r>
        <w:rPr>
          <w:rFonts w:ascii="Times New Roman" w:eastAsia="仿宋_GB2312" w:hAnsi="Times New Roman"/>
          <w:color w:val="000000"/>
          <w:kern w:val="0"/>
          <w:sz w:val="32"/>
          <w:szCs w:val="32"/>
        </w:rPr>
        <w:t>简单介绍</w:t>
      </w:r>
      <w:r>
        <w:rPr>
          <w:rFonts w:ascii="Times New Roman" w:eastAsia="仿宋_GB2312" w:hAnsi="Times New Roman"/>
          <w:color w:val="000000"/>
          <w:kern w:val="0"/>
          <w:sz w:val="32"/>
          <w:szCs w:val="32"/>
        </w:rPr>
        <w:t>HER2</w:t>
      </w:r>
      <w:r>
        <w:rPr>
          <w:rFonts w:ascii="Times New Roman" w:eastAsia="仿宋_GB2312" w:hAnsi="Times New Roman"/>
          <w:color w:val="000000"/>
          <w:kern w:val="0"/>
          <w:sz w:val="32"/>
          <w:szCs w:val="32"/>
        </w:rPr>
        <w:t>基因的生物学特征，如基本结构、编码蛋白及与肿瘤预后判断、用药指导的关系。</w:t>
      </w:r>
    </w:p>
    <w:p w:rsidR="009A28FC" w:rsidRDefault="00401542">
      <w:pPr>
        <w:tabs>
          <w:tab w:val="left" w:pos="7140"/>
        </w:tabs>
        <w:autoSpaceDE w:val="0"/>
        <w:autoSpaceDN w:val="0"/>
        <w:spacing w:line="52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1.4</w:t>
      </w:r>
      <w:r>
        <w:rPr>
          <w:rFonts w:ascii="Times New Roman" w:eastAsia="仿宋_GB2312" w:hAnsi="Times New Roman"/>
          <w:color w:val="000000"/>
          <w:kern w:val="0"/>
          <w:sz w:val="32"/>
          <w:szCs w:val="32"/>
        </w:rPr>
        <w:t>简单介绍与</w:t>
      </w:r>
      <w:r>
        <w:rPr>
          <w:rFonts w:ascii="Times New Roman" w:eastAsia="仿宋_GB2312" w:hAnsi="Times New Roman"/>
          <w:color w:val="000000"/>
          <w:kern w:val="0"/>
          <w:sz w:val="32"/>
          <w:szCs w:val="32"/>
        </w:rPr>
        <w:t>IHC</w:t>
      </w:r>
      <w:r>
        <w:rPr>
          <w:rFonts w:ascii="Times New Roman" w:eastAsia="仿宋_GB2312" w:hAnsi="Times New Roman"/>
          <w:color w:val="000000"/>
          <w:kern w:val="0"/>
          <w:sz w:val="32"/>
          <w:szCs w:val="32"/>
        </w:rPr>
        <w:t>检测之间的关系。建议说明临床应用过程中首先考虑使用免疫组织化学方法检测</w:t>
      </w:r>
      <w:r>
        <w:rPr>
          <w:rFonts w:ascii="Times New Roman" w:eastAsia="仿宋_GB2312" w:hAnsi="Times New Roman"/>
          <w:color w:val="000000"/>
          <w:kern w:val="0"/>
          <w:sz w:val="32"/>
          <w:szCs w:val="32"/>
        </w:rPr>
        <w:t>HER2</w:t>
      </w:r>
      <w:r>
        <w:rPr>
          <w:rFonts w:ascii="Times New Roman" w:eastAsia="仿宋_GB2312" w:hAnsi="Times New Roman"/>
          <w:color w:val="000000"/>
          <w:kern w:val="0"/>
          <w:sz w:val="32"/>
          <w:szCs w:val="32"/>
        </w:rPr>
        <w:t>蛋白的过表达状态，在结果为（</w:t>
      </w:r>
      <w:r>
        <w:rPr>
          <w:rFonts w:ascii="Times New Roman" w:eastAsia="仿宋_GB2312" w:hAnsi="Times New Roman"/>
          <w:color w:val="000000"/>
          <w:kern w:val="0"/>
          <w:sz w:val="32"/>
          <w:szCs w:val="32"/>
        </w:rPr>
        <w:t>2+</w:t>
      </w:r>
      <w:r>
        <w:rPr>
          <w:rFonts w:ascii="Times New Roman" w:eastAsia="仿宋_GB2312" w:hAnsi="Times New Roman"/>
          <w:color w:val="000000"/>
          <w:kern w:val="0"/>
          <w:sz w:val="32"/>
          <w:szCs w:val="32"/>
        </w:rPr>
        <w:t>）的情况下需进一步</w:t>
      </w:r>
      <w:r>
        <w:rPr>
          <w:rFonts w:ascii="Times New Roman" w:eastAsia="仿宋_GB2312" w:hAnsi="Times New Roman"/>
          <w:color w:val="000000"/>
          <w:kern w:val="0"/>
          <w:sz w:val="32"/>
          <w:szCs w:val="32"/>
        </w:rPr>
        <w:t>应用原位杂交方法确定</w:t>
      </w:r>
      <w:r>
        <w:rPr>
          <w:rFonts w:ascii="Times New Roman" w:eastAsia="仿宋_GB2312" w:hAnsi="Times New Roman"/>
          <w:color w:val="000000"/>
          <w:kern w:val="0"/>
          <w:sz w:val="32"/>
          <w:szCs w:val="32"/>
        </w:rPr>
        <w:t>HER2</w:t>
      </w:r>
      <w:r>
        <w:rPr>
          <w:rFonts w:ascii="Times New Roman" w:eastAsia="仿宋_GB2312" w:hAnsi="Times New Roman"/>
          <w:color w:val="000000"/>
          <w:kern w:val="0"/>
          <w:sz w:val="32"/>
          <w:szCs w:val="32"/>
        </w:rPr>
        <w:t>基因的扩增状态。</w:t>
      </w:r>
    </w:p>
    <w:p w:rsidR="009A28FC" w:rsidRDefault="00401542">
      <w:pPr>
        <w:spacing w:line="52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1.</w:t>
      </w:r>
      <w:r>
        <w:rPr>
          <w:rFonts w:ascii="Times New Roman" w:eastAsia="仿宋_GB2312" w:hAnsi="Times New Roman" w:hint="eastAsia"/>
          <w:color w:val="000000"/>
          <w:kern w:val="0"/>
          <w:sz w:val="32"/>
          <w:szCs w:val="32"/>
        </w:rPr>
        <w:t>5</w:t>
      </w:r>
      <w:r>
        <w:rPr>
          <w:rFonts w:ascii="Times New Roman" w:eastAsia="仿宋_GB2312" w:hAnsi="Times New Roman"/>
          <w:color w:val="000000"/>
          <w:kern w:val="0"/>
          <w:sz w:val="32"/>
          <w:szCs w:val="32"/>
        </w:rPr>
        <w:t>明确说明该</w:t>
      </w:r>
      <w:proofErr w:type="gramStart"/>
      <w:r>
        <w:rPr>
          <w:rFonts w:ascii="Times New Roman" w:eastAsia="仿宋_GB2312" w:hAnsi="Times New Roman"/>
          <w:color w:val="000000"/>
          <w:kern w:val="0"/>
          <w:sz w:val="32"/>
          <w:szCs w:val="32"/>
        </w:rPr>
        <w:t>试剂盒仅用于</w:t>
      </w:r>
      <w:proofErr w:type="gramEnd"/>
      <w:r>
        <w:rPr>
          <w:rFonts w:ascii="Times New Roman" w:eastAsia="仿宋_GB2312" w:hAnsi="Times New Roman"/>
          <w:color w:val="000000"/>
          <w:kern w:val="0"/>
          <w:sz w:val="32"/>
          <w:szCs w:val="32"/>
        </w:rPr>
        <w:t>对特定肿瘤患者</w:t>
      </w:r>
      <w:r>
        <w:rPr>
          <w:rFonts w:ascii="Times New Roman" w:eastAsia="仿宋_GB2312" w:hAnsi="Times New Roman"/>
          <w:color w:val="000000"/>
          <w:kern w:val="0"/>
          <w:sz w:val="32"/>
          <w:szCs w:val="32"/>
        </w:rPr>
        <w:t>HER2</w:t>
      </w:r>
      <w:r>
        <w:rPr>
          <w:rFonts w:ascii="Times New Roman" w:eastAsia="仿宋_GB2312" w:hAnsi="Times New Roman"/>
          <w:color w:val="000000"/>
          <w:kern w:val="0"/>
          <w:sz w:val="32"/>
          <w:szCs w:val="32"/>
        </w:rPr>
        <w:t>基因扩增情况的检测，其检测结果仅供临床参考，不应作为患者个体化治疗的唯一依据，临床医生应结合患者病情、药物适应症、治疗反应及其他实验室检测指标等因素对检测结果进行综合判断。</w:t>
      </w:r>
    </w:p>
    <w:p w:rsidR="009A28FC" w:rsidRDefault="00401542">
      <w:pPr>
        <w:spacing w:line="520" w:lineRule="exact"/>
        <w:ind w:firstLineChars="200" w:firstLine="640"/>
        <w:rPr>
          <w:rFonts w:ascii="Times New Roman" w:eastAsia="仿宋_GB2312" w:hAnsi="Times New Roman" w:cs="宋体"/>
          <w:color w:val="000000"/>
          <w:sz w:val="32"/>
          <w:szCs w:val="32"/>
        </w:rPr>
      </w:pPr>
      <w:r>
        <w:rPr>
          <w:rFonts w:ascii="Times New Roman" w:eastAsia="仿宋_GB2312" w:hAnsi="Times New Roman" w:cs="宋体"/>
          <w:color w:val="000000"/>
          <w:sz w:val="32"/>
          <w:szCs w:val="32"/>
        </w:rPr>
        <w:t>2.</w:t>
      </w:r>
      <w:r>
        <w:rPr>
          <w:rFonts w:ascii="Times New Roman" w:eastAsia="仿宋_GB2312" w:hAnsi="Times New Roman" w:cs="宋体" w:hint="eastAsia"/>
          <w:color w:val="000000"/>
          <w:sz w:val="32"/>
          <w:szCs w:val="32"/>
        </w:rPr>
        <w:t>【检验原理】</w:t>
      </w:r>
    </w:p>
    <w:p w:rsidR="009A28FC" w:rsidRDefault="00401542">
      <w:pPr>
        <w:spacing w:line="520" w:lineRule="exact"/>
        <w:ind w:firstLineChars="200" w:firstLine="640"/>
        <w:rPr>
          <w:rFonts w:eastAsia="仿宋_GB2312"/>
          <w:color w:val="000000"/>
          <w:kern w:val="0"/>
          <w:sz w:val="32"/>
          <w:szCs w:val="32"/>
        </w:rPr>
      </w:pPr>
      <w:r>
        <w:rPr>
          <w:rFonts w:eastAsia="仿宋_GB2312"/>
          <w:color w:val="000000"/>
          <w:kern w:val="0"/>
          <w:sz w:val="32"/>
          <w:szCs w:val="32"/>
        </w:rPr>
        <w:t>简述荧光原位杂交技术的基本原理。对特异性结合靶基因，探针长度、序列设计、标记染料名称及标记方法，预处理、杂交与复染过程，荧光信号观察、计数和比值计算的方法等内容进行介绍。</w:t>
      </w:r>
    </w:p>
    <w:p w:rsidR="009A28FC" w:rsidRDefault="00401542">
      <w:pPr>
        <w:spacing w:line="520" w:lineRule="exact"/>
        <w:ind w:firstLineChars="200" w:firstLine="640"/>
        <w:rPr>
          <w:rFonts w:ascii="Times New Roman" w:eastAsia="仿宋_GB2312" w:hAnsi="Times New Roman"/>
          <w:sz w:val="32"/>
          <w:szCs w:val="32"/>
        </w:rPr>
      </w:pPr>
      <w:r>
        <w:rPr>
          <w:rFonts w:ascii="Times New Roman" w:eastAsia="仿宋_GB2312" w:hAnsi="Times New Roman" w:cs="宋体"/>
          <w:color w:val="000000"/>
          <w:sz w:val="32"/>
          <w:szCs w:val="32"/>
        </w:rPr>
        <w:t>3</w:t>
      </w:r>
      <w:r>
        <w:rPr>
          <w:rFonts w:ascii="Times New Roman" w:eastAsia="仿宋_GB2312" w:hAnsi="Times New Roman" w:cs="宋体" w:hint="eastAsia"/>
          <w:color w:val="000000"/>
          <w:sz w:val="32"/>
          <w:szCs w:val="32"/>
        </w:rPr>
        <w:t>.</w:t>
      </w:r>
      <w:r>
        <w:rPr>
          <w:rFonts w:ascii="Times New Roman" w:eastAsia="仿宋_GB2312" w:hAnsi="Times New Roman" w:cs="宋体" w:hint="eastAsia"/>
          <w:color w:val="000000"/>
          <w:sz w:val="32"/>
          <w:szCs w:val="32"/>
        </w:rPr>
        <w:t>【主要组成成分】</w:t>
      </w:r>
      <w:r>
        <w:rPr>
          <w:rFonts w:ascii="Times New Roman" w:eastAsia="仿宋_GB2312" w:hAnsi="Times New Roman" w:cs="宋体" w:hint="eastAsia"/>
          <w:color w:val="000000"/>
          <w:sz w:val="32"/>
          <w:szCs w:val="32"/>
        </w:rPr>
        <w:br/>
      </w:r>
      <w:r>
        <w:rPr>
          <w:rFonts w:ascii="Times New Roman" w:eastAsia="仿宋_GB2312" w:hAnsi="Times New Roman" w:cs="宋体" w:hint="eastAsia"/>
          <w:color w:val="000000"/>
          <w:sz w:val="32"/>
          <w:szCs w:val="32"/>
        </w:rPr>
        <w:t xml:space="preserve">　　</w:t>
      </w:r>
      <w:r>
        <w:rPr>
          <w:rFonts w:ascii="Times New Roman" w:eastAsia="仿宋_GB2312" w:hAnsi="Times New Roman"/>
          <w:color w:val="000000"/>
          <w:sz w:val="32"/>
          <w:szCs w:val="32"/>
        </w:rPr>
        <w:t>明确试剂盒中各组分及</w:t>
      </w:r>
      <w:r>
        <w:rPr>
          <w:rFonts w:ascii="Times New Roman" w:eastAsia="仿宋_GB2312" w:hAnsi="Times New Roman" w:hint="eastAsia"/>
          <w:color w:val="000000"/>
          <w:sz w:val="32"/>
          <w:szCs w:val="32"/>
        </w:rPr>
        <w:t>具体</w:t>
      </w:r>
      <w:r>
        <w:rPr>
          <w:rFonts w:ascii="Times New Roman" w:eastAsia="仿宋_GB2312" w:hAnsi="Times New Roman"/>
          <w:color w:val="000000"/>
          <w:sz w:val="32"/>
          <w:szCs w:val="32"/>
        </w:rPr>
        <w:t>成分。</w:t>
      </w:r>
      <w:r>
        <w:rPr>
          <w:rFonts w:ascii="Times New Roman" w:eastAsia="仿宋_GB2312" w:hAnsi="Times New Roman"/>
          <w:sz w:val="32"/>
          <w:szCs w:val="32"/>
        </w:rPr>
        <w:t>需要但未提供的材料，</w:t>
      </w:r>
      <w:r>
        <w:rPr>
          <w:rFonts w:ascii="Times New Roman" w:eastAsia="仿宋_GB2312" w:hAnsi="Times New Roman" w:hint="eastAsia"/>
          <w:sz w:val="32"/>
          <w:szCs w:val="32"/>
        </w:rPr>
        <w:t>需明确物料</w:t>
      </w:r>
      <w:r>
        <w:rPr>
          <w:rFonts w:ascii="Times New Roman" w:eastAsia="仿宋_GB2312" w:hAnsi="Times New Roman"/>
          <w:sz w:val="32"/>
          <w:szCs w:val="32"/>
        </w:rPr>
        <w:t>的产品名称，生产厂家，货号及注册证号、备案号等信</w:t>
      </w:r>
      <w:r>
        <w:rPr>
          <w:rFonts w:ascii="Times New Roman" w:eastAsia="仿宋_GB2312" w:hAnsi="Times New Roman"/>
          <w:sz w:val="32"/>
          <w:szCs w:val="32"/>
        </w:rPr>
        <w:lastRenderedPageBreak/>
        <w:t>息。</w:t>
      </w:r>
    </w:p>
    <w:p w:rsidR="009A28FC" w:rsidRDefault="00401542">
      <w:pPr>
        <w:spacing w:line="52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s="宋体" w:hint="eastAsia"/>
          <w:color w:val="000000"/>
          <w:sz w:val="32"/>
          <w:szCs w:val="32"/>
        </w:rPr>
        <w:t>4</w:t>
      </w:r>
      <w:r>
        <w:rPr>
          <w:rFonts w:ascii="Times New Roman" w:eastAsia="仿宋_GB2312" w:hAnsi="Times New Roman" w:cs="宋体"/>
          <w:color w:val="000000"/>
          <w:sz w:val="32"/>
          <w:szCs w:val="32"/>
        </w:rPr>
        <w:t>.</w:t>
      </w:r>
      <w:r>
        <w:rPr>
          <w:rFonts w:ascii="Times New Roman" w:eastAsia="仿宋_GB2312" w:hAnsi="Times New Roman" w:cs="宋体" w:hint="eastAsia"/>
          <w:color w:val="000000"/>
          <w:sz w:val="32"/>
          <w:szCs w:val="32"/>
        </w:rPr>
        <w:t>【储存条件及有效期】</w:t>
      </w:r>
      <w:r>
        <w:rPr>
          <w:rFonts w:ascii="Times New Roman" w:eastAsia="仿宋_GB2312" w:hAnsi="Times New Roman" w:cs="宋体" w:hint="eastAsia"/>
          <w:color w:val="000000"/>
          <w:sz w:val="32"/>
          <w:szCs w:val="32"/>
        </w:rPr>
        <w:br/>
      </w:r>
      <w:r>
        <w:rPr>
          <w:rFonts w:ascii="Times New Roman" w:eastAsia="仿宋_GB2312" w:hAnsi="Times New Roman" w:cs="宋体" w:hint="eastAsia"/>
          <w:color w:val="000000"/>
          <w:sz w:val="32"/>
          <w:szCs w:val="32"/>
        </w:rPr>
        <w:t xml:space="preserve">　　说明试剂盒的效期稳定性等</w:t>
      </w:r>
      <w:r>
        <w:rPr>
          <w:rFonts w:ascii="Times New Roman" w:eastAsia="仿宋_GB2312" w:hAnsi="Times New Roman"/>
          <w:sz w:val="32"/>
          <w:szCs w:val="32"/>
        </w:rPr>
        <w:t>，</w:t>
      </w:r>
      <w:r>
        <w:rPr>
          <w:rFonts w:eastAsia="仿宋_GB2312"/>
          <w:sz w:val="32"/>
          <w:szCs w:val="32"/>
        </w:rPr>
        <w:t>明确具体的储存条件及有效期等信息</w:t>
      </w:r>
      <w:r>
        <w:rPr>
          <w:rFonts w:ascii="Times New Roman" w:eastAsia="仿宋_GB2312" w:hAnsi="Times New Roman" w:cs="宋体" w:hint="eastAsia"/>
          <w:color w:val="000000"/>
          <w:sz w:val="32"/>
          <w:szCs w:val="32"/>
        </w:rPr>
        <w:t>。</w:t>
      </w:r>
      <w:r>
        <w:rPr>
          <w:rFonts w:eastAsia="仿宋_GB2312"/>
          <w:color w:val="000000"/>
          <w:kern w:val="0"/>
          <w:sz w:val="32"/>
          <w:szCs w:val="32"/>
        </w:rPr>
        <w:t>如试剂盒包含质控片还应在此处明确质控片的稳定性。</w:t>
      </w:r>
      <w:r>
        <w:rPr>
          <w:rFonts w:ascii="Times New Roman" w:eastAsia="仿宋_GB2312" w:hAnsi="Times New Roman" w:cs="宋体" w:hint="eastAsia"/>
          <w:color w:val="000000"/>
          <w:sz w:val="32"/>
          <w:szCs w:val="32"/>
        </w:rPr>
        <w:br/>
      </w:r>
      <w:r>
        <w:rPr>
          <w:rFonts w:ascii="Times New Roman" w:eastAsia="仿宋_GB2312" w:hAnsi="Times New Roman" w:cs="宋体"/>
          <w:color w:val="000000"/>
          <w:sz w:val="32"/>
          <w:szCs w:val="32"/>
        </w:rPr>
        <w:t xml:space="preserve">    </w:t>
      </w:r>
      <w:r>
        <w:rPr>
          <w:rFonts w:ascii="Times New Roman" w:eastAsia="仿宋_GB2312" w:hAnsi="Times New Roman" w:cs="宋体" w:hint="eastAsia"/>
          <w:color w:val="000000"/>
          <w:sz w:val="32"/>
          <w:szCs w:val="32"/>
        </w:rPr>
        <w:t>5.</w:t>
      </w:r>
      <w:r>
        <w:rPr>
          <w:rFonts w:ascii="Times New Roman" w:eastAsia="仿宋_GB2312" w:hAnsi="Times New Roman" w:cs="宋体" w:hint="eastAsia"/>
          <w:color w:val="000000"/>
          <w:sz w:val="32"/>
          <w:szCs w:val="32"/>
        </w:rPr>
        <w:t>【样本要求】</w:t>
      </w:r>
      <w:r>
        <w:rPr>
          <w:rFonts w:ascii="Times New Roman" w:eastAsia="仿宋_GB2312" w:hAnsi="Times New Roman" w:cs="宋体" w:hint="eastAsia"/>
          <w:color w:val="000000"/>
          <w:sz w:val="32"/>
          <w:szCs w:val="32"/>
        </w:rPr>
        <w:br/>
      </w:r>
      <w:r>
        <w:rPr>
          <w:rFonts w:ascii="Times New Roman" w:eastAsia="仿宋_GB2312" w:hAnsi="Times New Roman" w:cs="宋体" w:hint="eastAsia"/>
          <w:color w:val="000000"/>
          <w:sz w:val="32"/>
          <w:szCs w:val="32"/>
        </w:rPr>
        <w:t xml:space="preserve">　</w:t>
      </w:r>
      <w:r>
        <w:rPr>
          <w:rFonts w:ascii="Times New Roman" w:eastAsia="仿宋_GB2312" w:hAnsi="Times New Roman"/>
          <w:color w:val="000000"/>
          <w:kern w:val="0"/>
          <w:sz w:val="32"/>
          <w:szCs w:val="32"/>
        </w:rPr>
        <w:t>重点明确以下内容：</w:t>
      </w:r>
    </w:p>
    <w:p w:rsidR="009A28FC" w:rsidRDefault="00401542">
      <w:pPr>
        <w:spacing w:line="52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hint="eastAsia"/>
          <w:color w:val="000000"/>
          <w:kern w:val="0"/>
          <w:sz w:val="32"/>
          <w:szCs w:val="32"/>
        </w:rPr>
        <w:t>5</w:t>
      </w:r>
      <w:r>
        <w:rPr>
          <w:rFonts w:ascii="Times New Roman" w:eastAsia="仿宋_GB2312" w:hAnsi="Times New Roman"/>
          <w:color w:val="000000"/>
          <w:kern w:val="0"/>
          <w:sz w:val="32"/>
          <w:szCs w:val="32"/>
        </w:rPr>
        <w:t>.1</w:t>
      </w:r>
      <w:r>
        <w:rPr>
          <w:rFonts w:ascii="Times New Roman" w:eastAsia="仿宋_GB2312" w:hAnsi="Times New Roman"/>
          <w:color w:val="000000"/>
          <w:kern w:val="0"/>
          <w:sz w:val="32"/>
          <w:szCs w:val="32"/>
        </w:rPr>
        <w:t>对适用样本的取材、固定、包埋与切片的具体要求。此部分内容可参考国际或国内相关标准操作性文件内容进行编写或引用。注意不同组织类型的样本应分别描述。</w:t>
      </w:r>
    </w:p>
    <w:p w:rsidR="009A28FC" w:rsidRDefault="00401542">
      <w:pPr>
        <w:spacing w:line="520" w:lineRule="exact"/>
        <w:ind w:firstLineChars="200" w:firstLine="640"/>
        <w:rPr>
          <w:rFonts w:ascii="Times New Roman" w:eastAsia="仿宋_GB2312" w:hAnsi="Times New Roman"/>
          <w:sz w:val="32"/>
          <w:szCs w:val="32"/>
        </w:rPr>
      </w:pPr>
      <w:r>
        <w:rPr>
          <w:rFonts w:ascii="Times New Roman" w:eastAsia="仿宋_GB2312" w:hAnsi="Times New Roman" w:hint="eastAsia"/>
          <w:color w:val="000000"/>
          <w:kern w:val="0"/>
          <w:sz w:val="32"/>
          <w:szCs w:val="32"/>
        </w:rPr>
        <w:t>5</w:t>
      </w:r>
      <w:r>
        <w:rPr>
          <w:rFonts w:ascii="Times New Roman" w:eastAsia="仿宋_GB2312" w:hAnsi="Times New Roman"/>
          <w:color w:val="000000"/>
          <w:kern w:val="0"/>
          <w:sz w:val="32"/>
          <w:szCs w:val="32"/>
        </w:rPr>
        <w:t>.2</w:t>
      </w:r>
      <w:r>
        <w:rPr>
          <w:rFonts w:ascii="Times New Roman" w:eastAsia="仿宋_GB2312" w:hAnsi="Times New Roman"/>
          <w:color w:val="000000"/>
          <w:kern w:val="0"/>
          <w:sz w:val="32"/>
          <w:szCs w:val="32"/>
        </w:rPr>
        <w:t>样本的稳定性。</w:t>
      </w:r>
    </w:p>
    <w:p w:rsidR="009A28FC" w:rsidRDefault="00401542">
      <w:pPr>
        <w:spacing w:line="520" w:lineRule="exact"/>
        <w:ind w:firstLineChars="200" w:firstLine="640"/>
        <w:rPr>
          <w:rFonts w:eastAsia="仿宋_GB2312"/>
          <w:sz w:val="32"/>
          <w:szCs w:val="32"/>
        </w:rPr>
      </w:pPr>
      <w:r>
        <w:rPr>
          <w:rFonts w:ascii="Times New Roman" w:eastAsia="仿宋_GB2312" w:hAnsi="Times New Roman"/>
          <w:sz w:val="32"/>
          <w:szCs w:val="32"/>
        </w:rPr>
        <w:t>6.</w:t>
      </w:r>
      <w:r>
        <w:rPr>
          <w:rFonts w:eastAsia="仿宋_GB2312"/>
          <w:sz w:val="32"/>
          <w:szCs w:val="32"/>
        </w:rPr>
        <w:t>【适用仪器】</w:t>
      </w:r>
    </w:p>
    <w:p w:rsidR="009A28FC" w:rsidRDefault="00401542">
      <w:pPr>
        <w:spacing w:line="520" w:lineRule="exact"/>
        <w:ind w:firstLineChars="200" w:firstLine="640"/>
        <w:rPr>
          <w:rFonts w:eastAsia="仿宋_GB2312"/>
          <w:color w:val="000000"/>
          <w:kern w:val="0"/>
          <w:sz w:val="32"/>
          <w:szCs w:val="32"/>
        </w:rPr>
      </w:pPr>
      <w:r>
        <w:rPr>
          <w:rFonts w:eastAsia="仿宋_GB2312"/>
          <w:color w:val="000000"/>
          <w:kern w:val="0"/>
          <w:sz w:val="32"/>
          <w:szCs w:val="32"/>
        </w:rPr>
        <w:t>明确配套适用荧光显微镜的配置要求，至少包括对目镜与物镜的放大倍率、光源及滤光片要求。对显微镜配套耗材（如镜油）的要求进行介绍。</w:t>
      </w:r>
    </w:p>
    <w:p w:rsidR="009A28FC" w:rsidRDefault="00401542">
      <w:pPr>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cs="宋体" w:hint="eastAsia"/>
          <w:color w:val="000000"/>
          <w:sz w:val="32"/>
          <w:szCs w:val="32"/>
        </w:rPr>
        <w:t>7.</w:t>
      </w:r>
      <w:r>
        <w:rPr>
          <w:rFonts w:ascii="Times New Roman" w:eastAsia="仿宋_GB2312" w:hAnsi="Times New Roman" w:cs="宋体" w:hint="eastAsia"/>
          <w:color w:val="000000"/>
          <w:sz w:val="32"/>
          <w:szCs w:val="32"/>
        </w:rPr>
        <w:t>【检验方法】</w:t>
      </w:r>
    </w:p>
    <w:p w:rsidR="009A28FC" w:rsidRDefault="00401542">
      <w:pPr>
        <w:spacing w:line="520" w:lineRule="exact"/>
        <w:ind w:firstLineChars="200" w:firstLine="640"/>
        <w:rPr>
          <w:rFonts w:eastAsia="仿宋_GB2312"/>
          <w:sz w:val="32"/>
          <w:szCs w:val="32"/>
        </w:rPr>
      </w:pPr>
      <w:r>
        <w:rPr>
          <w:rFonts w:eastAsia="仿宋_GB2312"/>
          <w:sz w:val="32"/>
          <w:szCs w:val="32"/>
        </w:rPr>
        <w:t>详细说明实验操作的各个步骤，包括：</w:t>
      </w:r>
    </w:p>
    <w:p w:rsidR="009A28FC" w:rsidRDefault="00401542">
      <w:pPr>
        <w:spacing w:line="52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7.1</w:t>
      </w:r>
      <w:r>
        <w:rPr>
          <w:rFonts w:ascii="Times New Roman" w:eastAsia="仿宋_GB2312" w:hAnsi="Times New Roman"/>
          <w:color w:val="000000"/>
          <w:kern w:val="0"/>
          <w:sz w:val="32"/>
          <w:szCs w:val="32"/>
        </w:rPr>
        <w:t>明确检测需要的仪器与设备。</w:t>
      </w:r>
      <w:proofErr w:type="gramStart"/>
      <w:r>
        <w:rPr>
          <w:rFonts w:ascii="Times New Roman" w:eastAsia="仿宋_GB2312" w:hAnsi="Times New Roman"/>
          <w:color w:val="000000"/>
          <w:kern w:val="0"/>
          <w:sz w:val="32"/>
          <w:szCs w:val="32"/>
        </w:rPr>
        <w:t>如烤片机</w:t>
      </w:r>
      <w:proofErr w:type="gramEnd"/>
      <w:r>
        <w:rPr>
          <w:rFonts w:ascii="Times New Roman" w:eastAsia="仿宋_GB2312" w:hAnsi="Times New Roman"/>
          <w:color w:val="000000"/>
          <w:kern w:val="0"/>
          <w:sz w:val="32"/>
          <w:szCs w:val="32"/>
        </w:rPr>
        <w:t>、恒温箱、水浴锅、染色缸、杂交盒等。注明货号及生产商（如</w:t>
      </w:r>
      <w:r>
        <w:rPr>
          <w:rFonts w:ascii="Times New Roman" w:eastAsia="仿宋_GB2312" w:hAnsi="Times New Roman" w:hint="eastAsia"/>
          <w:color w:val="000000"/>
          <w:kern w:val="0"/>
          <w:sz w:val="32"/>
          <w:szCs w:val="32"/>
        </w:rPr>
        <w:t>适用</w:t>
      </w:r>
      <w:r>
        <w:rPr>
          <w:rFonts w:ascii="Times New Roman" w:eastAsia="仿宋_GB2312" w:hAnsi="Times New Roman"/>
          <w:color w:val="000000"/>
          <w:kern w:val="0"/>
          <w:sz w:val="32"/>
          <w:szCs w:val="32"/>
        </w:rPr>
        <w:t>）。</w:t>
      </w:r>
    </w:p>
    <w:p w:rsidR="009A28FC" w:rsidRDefault="00401542">
      <w:pPr>
        <w:spacing w:line="52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7.2</w:t>
      </w:r>
      <w:r>
        <w:rPr>
          <w:rFonts w:ascii="Times New Roman" w:eastAsia="仿宋_GB2312" w:hAnsi="Times New Roman"/>
          <w:color w:val="000000"/>
          <w:kern w:val="0"/>
          <w:sz w:val="32"/>
          <w:szCs w:val="32"/>
        </w:rPr>
        <w:t>试剂配制方法、注意事项，试剂开封、配制后使用方法及注意事项等。</w:t>
      </w:r>
    </w:p>
    <w:p w:rsidR="009A28FC" w:rsidRDefault="00401542">
      <w:pPr>
        <w:spacing w:line="52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7.3</w:t>
      </w:r>
      <w:r>
        <w:rPr>
          <w:rFonts w:ascii="Times New Roman" w:eastAsia="仿宋_GB2312" w:hAnsi="Times New Roman"/>
          <w:color w:val="000000"/>
          <w:kern w:val="0"/>
          <w:sz w:val="32"/>
          <w:szCs w:val="32"/>
        </w:rPr>
        <w:t>对于手工或半自动检测，详述脱蜡、消化、固定、核酸变性、杂交、洗涤和</w:t>
      </w:r>
      <w:proofErr w:type="gramStart"/>
      <w:r>
        <w:rPr>
          <w:rFonts w:ascii="Times New Roman" w:eastAsia="仿宋_GB2312" w:hAnsi="Times New Roman"/>
          <w:color w:val="000000"/>
          <w:kern w:val="0"/>
          <w:sz w:val="32"/>
          <w:szCs w:val="32"/>
        </w:rPr>
        <w:t>复染</w:t>
      </w:r>
      <w:proofErr w:type="gramEnd"/>
      <w:r>
        <w:rPr>
          <w:rFonts w:ascii="Times New Roman" w:eastAsia="仿宋_GB2312" w:hAnsi="Times New Roman"/>
          <w:color w:val="000000"/>
          <w:kern w:val="0"/>
          <w:sz w:val="32"/>
          <w:szCs w:val="32"/>
        </w:rPr>
        <w:t>等各操作步骤。描述应尽量细化，需明确各步骤处理时间、温度、注意事项等内容。</w:t>
      </w:r>
    </w:p>
    <w:p w:rsidR="009A28FC" w:rsidRDefault="00401542">
      <w:pPr>
        <w:spacing w:line="52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7.4</w:t>
      </w:r>
      <w:r>
        <w:rPr>
          <w:rFonts w:ascii="Times New Roman" w:eastAsia="仿宋_GB2312" w:hAnsi="Times New Roman"/>
          <w:color w:val="000000"/>
          <w:kern w:val="0"/>
          <w:sz w:val="32"/>
          <w:szCs w:val="32"/>
        </w:rPr>
        <w:t>对杂交后载玻片的储存及稳定性、复染后的储存及稳定</w:t>
      </w:r>
      <w:r>
        <w:rPr>
          <w:rFonts w:ascii="Times New Roman" w:eastAsia="仿宋_GB2312" w:hAnsi="Times New Roman"/>
          <w:color w:val="000000"/>
          <w:kern w:val="0"/>
          <w:sz w:val="32"/>
          <w:szCs w:val="32"/>
        </w:rPr>
        <w:lastRenderedPageBreak/>
        <w:t>性进行说明。</w:t>
      </w:r>
    </w:p>
    <w:p w:rsidR="009A28FC" w:rsidRDefault="00401542">
      <w:pPr>
        <w:spacing w:line="520" w:lineRule="exact"/>
        <w:ind w:firstLineChars="200" w:firstLine="640"/>
        <w:rPr>
          <w:rFonts w:ascii="Times New Roman" w:eastAsia="仿宋_GB2312" w:hAnsi="Times New Roman"/>
          <w:color w:val="000000"/>
          <w:kern w:val="0"/>
          <w:sz w:val="32"/>
          <w:szCs w:val="32"/>
          <w:highlight w:val="yellow"/>
        </w:rPr>
      </w:pPr>
      <w:r>
        <w:rPr>
          <w:rFonts w:ascii="Times New Roman" w:eastAsia="仿宋_GB2312" w:hAnsi="Times New Roman"/>
          <w:color w:val="000000"/>
          <w:kern w:val="0"/>
          <w:sz w:val="32"/>
          <w:szCs w:val="32"/>
        </w:rPr>
        <w:t>7.5</w:t>
      </w:r>
      <w:r>
        <w:rPr>
          <w:rFonts w:ascii="Times New Roman" w:eastAsia="仿宋_GB2312" w:hAnsi="Times New Roman"/>
          <w:color w:val="000000"/>
          <w:kern w:val="0"/>
          <w:sz w:val="32"/>
          <w:szCs w:val="32"/>
        </w:rPr>
        <w:t>详细说明质量控制情况：</w:t>
      </w:r>
    </w:p>
    <w:p w:rsidR="009A28FC" w:rsidRDefault="00401542">
      <w:pPr>
        <w:spacing w:line="520" w:lineRule="exact"/>
        <w:ind w:firstLineChars="200" w:firstLine="640"/>
        <w:rPr>
          <w:rFonts w:ascii="Times New Roman" w:eastAsia="仿宋_GB2312" w:hAnsi="Times New Roman"/>
          <w:b/>
          <w:color w:val="000000"/>
          <w:kern w:val="0"/>
          <w:sz w:val="32"/>
          <w:szCs w:val="32"/>
        </w:rPr>
      </w:pPr>
      <w:r>
        <w:rPr>
          <w:rFonts w:ascii="Times New Roman" w:eastAsia="仿宋_GB2312" w:hAnsi="Times New Roman"/>
          <w:color w:val="000000"/>
          <w:kern w:val="0"/>
          <w:sz w:val="32"/>
          <w:szCs w:val="32"/>
        </w:rPr>
        <w:t>建议实验室每次检测设置内对照和外对照（质控片），以对整体操作流程进行质量控制。评价指标应包括细胞结构的完整性，探针杂交信号的强度和位点的准确性，背景荧光强度，可计数信号（单色</w:t>
      </w:r>
      <w:r>
        <w:rPr>
          <w:rFonts w:ascii="Times New Roman" w:eastAsia="仿宋_GB2312" w:hAnsi="Times New Roman"/>
          <w:color w:val="000000"/>
          <w:kern w:val="0"/>
          <w:sz w:val="32"/>
          <w:szCs w:val="32"/>
        </w:rPr>
        <w:t>/</w:t>
      </w:r>
      <w:r>
        <w:rPr>
          <w:rFonts w:ascii="Times New Roman" w:eastAsia="仿宋_GB2312" w:hAnsi="Times New Roman"/>
          <w:color w:val="000000"/>
          <w:kern w:val="0"/>
          <w:sz w:val="32"/>
          <w:szCs w:val="32"/>
        </w:rPr>
        <w:t>双色）的细胞占全部细胞的比例等。</w:t>
      </w:r>
    </w:p>
    <w:p w:rsidR="009A28FC" w:rsidRDefault="00401542">
      <w:pPr>
        <w:spacing w:line="52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7.5.1</w:t>
      </w:r>
      <w:r>
        <w:rPr>
          <w:rFonts w:ascii="Times New Roman" w:eastAsia="仿宋_GB2312" w:hAnsi="Times New Roman"/>
          <w:color w:val="000000"/>
          <w:kern w:val="0"/>
          <w:sz w:val="32"/>
          <w:szCs w:val="32"/>
        </w:rPr>
        <w:t>内对照可为癌</w:t>
      </w:r>
      <w:proofErr w:type="gramStart"/>
      <w:r>
        <w:rPr>
          <w:rFonts w:ascii="Times New Roman" w:eastAsia="仿宋_GB2312" w:hAnsi="Times New Roman"/>
          <w:color w:val="000000"/>
          <w:kern w:val="0"/>
          <w:sz w:val="32"/>
          <w:szCs w:val="32"/>
        </w:rPr>
        <w:t>旁正常</w:t>
      </w:r>
      <w:proofErr w:type="gramEnd"/>
      <w:r>
        <w:rPr>
          <w:rFonts w:ascii="Times New Roman" w:eastAsia="仿宋_GB2312" w:hAnsi="Times New Roman"/>
          <w:color w:val="000000"/>
          <w:kern w:val="0"/>
          <w:sz w:val="32"/>
          <w:szCs w:val="32"/>
        </w:rPr>
        <w:t>组织，明确样本检测的内对照使用原则，如</w:t>
      </w:r>
      <w:r>
        <w:rPr>
          <w:rFonts w:ascii="Times New Roman" w:eastAsia="仿宋_GB2312" w:hAnsi="Times New Roman" w:hint="eastAsia"/>
          <w:color w:val="000000"/>
          <w:kern w:val="0"/>
          <w:sz w:val="32"/>
          <w:szCs w:val="32"/>
        </w:rPr>
        <w:t>“</w:t>
      </w:r>
      <w:r>
        <w:rPr>
          <w:rFonts w:ascii="Times New Roman" w:eastAsia="仿宋_GB2312" w:hAnsi="Times New Roman"/>
          <w:color w:val="000000"/>
          <w:kern w:val="0"/>
          <w:sz w:val="32"/>
          <w:szCs w:val="32"/>
        </w:rPr>
        <w:t>75%</w:t>
      </w:r>
      <w:r>
        <w:rPr>
          <w:rFonts w:ascii="Times New Roman" w:eastAsia="仿宋_GB2312" w:hAnsi="Times New Roman"/>
          <w:color w:val="000000"/>
          <w:kern w:val="0"/>
          <w:sz w:val="32"/>
          <w:szCs w:val="32"/>
        </w:rPr>
        <w:t>以上的肿瘤细胞核中都有杂交信号时，视为检测成功。</w:t>
      </w:r>
      <w:r>
        <w:rPr>
          <w:rFonts w:ascii="Times New Roman" w:eastAsia="仿宋_GB2312" w:hAnsi="Times New Roman" w:hint="eastAsia"/>
          <w:color w:val="000000"/>
          <w:kern w:val="0"/>
          <w:sz w:val="32"/>
          <w:szCs w:val="32"/>
        </w:rPr>
        <w:t>”</w:t>
      </w:r>
    </w:p>
    <w:p w:rsidR="009A28FC" w:rsidRDefault="00401542">
      <w:pPr>
        <w:spacing w:line="52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7.5.2</w:t>
      </w:r>
      <w:r>
        <w:rPr>
          <w:rFonts w:ascii="Times New Roman" w:eastAsia="仿宋_GB2312" w:hAnsi="Times New Roman"/>
          <w:color w:val="000000"/>
          <w:kern w:val="0"/>
          <w:sz w:val="32"/>
          <w:szCs w:val="32"/>
        </w:rPr>
        <w:t>外对照可选择已知</w:t>
      </w:r>
      <w:r>
        <w:rPr>
          <w:rFonts w:ascii="Times New Roman" w:eastAsia="仿宋_GB2312" w:hAnsi="Times New Roman"/>
          <w:color w:val="000000"/>
          <w:kern w:val="0"/>
          <w:sz w:val="32"/>
          <w:szCs w:val="32"/>
        </w:rPr>
        <w:t>HER2</w:t>
      </w:r>
      <w:r>
        <w:rPr>
          <w:rFonts w:ascii="Times New Roman" w:eastAsia="仿宋_GB2312" w:hAnsi="Times New Roman"/>
          <w:color w:val="000000"/>
          <w:kern w:val="0"/>
          <w:sz w:val="32"/>
          <w:szCs w:val="32"/>
        </w:rPr>
        <w:t>基因扩增状态的组织切片或者细胞株，至少包括临界值以及无扩增样本。明确每一批次患者样本检测和更换使用新的试剂盒批次时，均应同时进行质控片检测，以监控检测性能并评估信号计数的准确性。分析质</w:t>
      </w:r>
      <w:proofErr w:type="gramStart"/>
      <w:r>
        <w:rPr>
          <w:rFonts w:ascii="Times New Roman" w:eastAsia="仿宋_GB2312" w:hAnsi="Times New Roman"/>
          <w:color w:val="000000"/>
          <w:kern w:val="0"/>
          <w:sz w:val="32"/>
          <w:szCs w:val="32"/>
        </w:rPr>
        <w:t>控结果</w:t>
      </w:r>
      <w:proofErr w:type="gramEnd"/>
      <w:r>
        <w:rPr>
          <w:rFonts w:ascii="Times New Roman" w:eastAsia="仿宋_GB2312" w:hAnsi="Times New Roman"/>
          <w:color w:val="000000"/>
          <w:kern w:val="0"/>
          <w:sz w:val="32"/>
          <w:szCs w:val="32"/>
        </w:rPr>
        <w:t>不符合要求的原因并详述处理方式。</w:t>
      </w:r>
    </w:p>
    <w:p w:rsidR="009A28FC" w:rsidRDefault="00401542">
      <w:pPr>
        <w:spacing w:line="52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如试剂盒内不包含质控片，应明确配套使用的质控片信息，可以为商用质控片也可以为临床检测实验室自制质控片。自制质控片应为已知</w:t>
      </w:r>
      <w:r>
        <w:rPr>
          <w:rFonts w:ascii="Times New Roman" w:eastAsia="仿宋_GB2312" w:hAnsi="Times New Roman"/>
          <w:color w:val="000000"/>
          <w:kern w:val="0"/>
          <w:sz w:val="32"/>
          <w:szCs w:val="32"/>
        </w:rPr>
        <w:t>FISH</w:t>
      </w:r>
      <w:r>
        <w:rPr>
          <w:rFonts w:ascii="Times New Roman" w:eastAsia="仿宋_GB2312" w:hAnsi="Times New Roman"/>
          <w:color w:val="000000"/>
          <w:kern w:val="0"/>
          <w:sz w:val="32"/>
          <w:szCs w:val="32"/>
        </w:rPr>
        <w:t>结果的阴性和阳性质控片，详述质控片的制备方法。明确质</w:t>
      </w:r>
      <w:proofErr w:type="gramStart"/>
      <w:r>
        <w:rPr>
          <w:rFonts w:ascii="Times New Roman" w:eastAsia="仿宋_GB2312" w:hAnsi="Times New Roman"/>
          <w:color w:val="000000"/>
          <w:kern w:val="0"/>
          <w:sz w:val="32"/>
          <w:szCs w:val="32"/>
        </w:rPr>
        <w:t>控结果</w:t>
      </w:r>
      <w:proofErr w:type="gramEnd"/>
      <w:r>
        <w:rPr>
          <w:rFonts w:ascii="Times New Roman" w:eastAsia="仿宋_GB2312" w:hAnsi="Times New Roman"/>
          <w:color w:val="000000"/>
          <w:kern w:val="0"/>
          <w:sz w:val="32"/>
          <w:szCs w:val="32"/>
        </w:rPr>
        <w:t>要求（试验有效性的判断），结果允许范围（如适用于不同的仪器或适用于手</w:t>
      </w:r>
      <w:r>
        <w:rPr>
          <w:rFonts w:ascii="Times New Roman" w:eastAsia="仿宋_GB2312" w:hAnsi="Times New Roman"/>
          <w:color w:val="000000"/>
          <w:kern w:val="0"/>
          <w:sz w:val="32"/>
          <w:szCs w:val="32"/>
        </w:rPr>
        <w:t>工与仪器方法，应分别列明结果的允许范围）。</w:t>
      </w:r>
    </w:p>
    <w:p w:rsidR="009A28FC" w:rsidRDefault="00401542">
      <w:pPr>
        <w:spacing w:line="52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7.6</w:t>
      </w:r>
      <w:r>
        <w:rPr>
          <w:rFonts w:ascii="Times New Roman" w:eastAsia="仿宋_GB2312" w:hAnsi="Times New Roman"/>
          <w:color w:val="000000"/>
          <w:kern w:val="0"/>
          <w:sz w:val="32"/>
          <w:szCs w:val="32"/>
        </w:rPr>
        <w:t>建议强调实验室检测相关的仪器设备需定期维护、校验，应建立完善的标准操作规范文件，从事检测的技术人员和病理医师应通过必要的培训和资格考核，做好记录和存档，内部定期对不同批次检测结果进行重复性分析；并积极参加相关的</w:t>
      </w:r>
      <w:proofErr w:type="gramStart"/>
      <w:r>
        <w:rPr>
          <w:rFonts w:ascii="Times New Roman" w:eastAsia="仿宋_GB2312" w:hAnsi="Times New Roman"/>
          <w:color w:val="000000"/>
          <w:kern w:val="0"/>
          <w:sz w:val="32"/>
          <w:szCs w:val="32"/>
        </w:rPr>
        <w:t>外部质</w:t>
      </w:r>
      <w:proofErr w:type="gramEnd"/>
      <w:r>
        <w:rPr>
          <w:rFonts w:ascii="Times New Roman" w:eastAsia="仿宋_GB2312" w:hAnsi="Times New Roman"/>
          <w:color w:val="000000"/>
          <w:kern w:val="0"/>
          <w:sz w:val="32"/>
          <w:szCs w:val="32"/>
        </w:rPr>
        <w:t>控</w:t>
      </w:r>
      <w:r>
        <w:rPr>
          <w:rFonts w:ascii="Times New Roman" w:eastAsia="仿宋_GB2312" w:hAnsi="Times New Roman"/>
          <w:color w:val="000000"/>
          <w:kern w:val="0"/>
          <w:sz w:val="32"/>
          <w:szCs w:val="32"/>
        </w:rPr>
        <w:lastRenderedPageBreak/>
        <w:t>活动。</w:t>
      </w:r>
    </w:p>
    <w:p w:rsidR="009A28FC" w:rsidRDefault="00401542">
      <w:pPr>
        <w:spacing w:line="52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s="宋体" w:hint="eastAsia"/>
          <w:color w:val="000000"/>
          <w:sz w:val="32"/>
          <w:szCs w:val="32"/>
        </w:rPr>
        <w:t>8.</w:t>
      </w:r>
      <w:r>
        <w:rPr>
          <w:rFonts w:ascii="Times New Roman" w:eastAsia="仿宋_GB2312" w:hAnsi="Times New Roman" w:cs="宋体" w:hint="eastAsia"/>
          <w:color w:val="000000"/>
          <w:sz w:val="32"/>
          <w:szCs w:val="32"/>
        </w:rPr>
        <w:t>【阳性判断值】</w:t>
      </w:r>
      <w:r>
        <w:rPr>
          <w:rFonts w:ascii="Times New Roman" w:eastAsia="仿宋_GB2312" w:hAnsi="Times New Roman" w:cs="宋体" w:hint="eastAsia"/>
          <w:color w:val="000000"/>
          <w:sz w:val="32"/>
          <w:szCs w:val="32"/>
        </w:rPr>
        <w:br/>
      </w:r>
      <w:r>
        <w:rPr>
          <w:rFonts w:ascii="Times New Roman" w:eastAsia="仿宋_GB2312" w:hAnsi="Times New Roman" w:cs="宋体" w:hint="eastAsia"/>
          <w:color w:val="000000"/>
          <w:sz w:val="32"/>
          <w:szCs w:val="32"/>
        </w:rPr>
        <w:t xml:space="preserve">　　</w:t>
      </w:r>
      <w:r>
        <w:rPr>
          <w:rFonts w:ascii="Times New Roman" w:eastAsia="仿宋_GB2312" w:hAnsi="Times New Roman"/>
          <w:color w:val="000000"/>
          <w:kern w:val="0"/>
          <w:sz w:val="32"/>
          <w:szCs w:val="32"/>
        </w:rPr>
        <w:t>根据相关指南及规范性文件，</w:t>
      </w:r>
      <w:bookmarkStart w:id="0" w:name="OLE_LINK16"/>
      <w:bookmarkStart w:id="1" w:name="OLE_LINK17"/>
      <w:r>
        <w:rPr>
          <w:rFonts w:ascii="Times New Roman" w:eastAsia="仿宋_GB2312" w:hAnsi="Times New Roman"/>
          <w:color w:val="000000"/>
          <w:kern w:val="0"/>
          <w:sz w:val="32"/>
          <w:szCs w:val="32"/>
        </w:rPr>
        <w:t>以</w:t>
      </w:r>
      <w:r>
        <w:rPr>
          <w:rFonts w:ascii="Times New Roman" w:eastAsia="仿宋_GB2312" w:hAnsi="Times New Roman"/>
          <w:color w:val="000000"/>
          <w:kern w:val="0"/>
          <w:sz w:val="32"/>
          <w:szCs w:val="32"/>
        </w:rPr>
        <w:t>HER2</w:t>
      </w:r>
      <w:r>
        <w:rPr>
          <w:rFonts w:ascii="Times New Roman" w:eastAsia="仿宋_GB2312" w:hAnsi="Times New Roman"/>
          <w:color w:val="000000"/>
          <w:kern w:val="0"/>
          <w:sz w:val="32"/>
          <w:szCs w:val="32"/>
        </w:rPr>
        <w:t>拷贝数平均值</w:t>
      </w:r>
      <w:r>
        <w:rPr>
          <w:rFonts w:ascii="Times New Roman" w:eastAsia="仿宋_GB2312" w:hAnsi="Times New Roman"/>
          <w:color w:val="000000"/>
          <w:kern w:val="0"/>
          <w:sz w:val="32"/>
          <w:szCs w:val="32"/>
        </w:rPr>
        <w:t>/</w:t>
      </w:r>
      <w:r>
        <w:rPr>
          <w:rFonts w:ascii="Times New Roman" w:eastAsia="仿宋_GB2312" w:hAnsi="Times New Roman"/>
          <w:color w:val="000000"/>
          <w:kern w:val="0"/>
          <w:sz w:val="32"/>
          <w:szCs w:val="32"/>
        </w:rPr>
        <w:t>细胞和</w:t>
      </w:r>
      <w:r>
        <w:rPr>
          <w:rFonts w:ascii="Times New Roman" w:eastAsia="仿宋_GB2312" w:hAnsi="Times New Roman"/>
          <w:color w:val="000000"/>
          <w:kern w:val="0"/>
          <w:sz w:val="32"/>
          <w:szCs w:val="32"/>
        </w:rPr>
        <w:t>/</w:t>
      </w:r>
      <w:r>
        <w:rPr>
          <w:rFonts w:ascii="Times New Roman" w:eastAsia="仿宋_GB2312" w:hAnsi="Times New Roman"/>
          <w:color w:val="000000"/>
          <w:kern w:val="0"/>
          <w:sz w:val="32"/>
          <w:szCs w:val="32"/>
        </w:rPr>
        <w:t>或</w:t>
      </w:r>
      <w:r>
        <w:rPr>
          <w:rFonts w:ascii="Times New Roman" w:eastAsia="仿宋_GB2312" w:hAnsi="Times New Roman"/>
          <w:color w:val="000000"/>
          <w:kern w:val="0"/>
          <w:sz w:val="32"/>
          <w:szCs w:val="32"/>
        </w:rPr>
        <w:t>HER2</w:t>
      </w:r>
      <w:r>
        <w:rPr>
          <w:rFonts w:ascii="Times New Roman" w:eastAsia="仿宋_GB2312" w:hAnsi="Times New Roman"/>
          <w:color w:val="000000"/>
          <w:kern w:val="0"/>
          <w:sz w:val="32"/>
          <w:szCs w:val="32"/>
        </w:rPr>
        <w:t>总拷贝数与</w:t>
      </w:r>
      <w:r>
        <w:rPr>
          <w:rFonts w:ascii="Times New Roman" w:eastAsia="仿宋_GB2312" w:hAnsi="Times New Roman"/>
          <w:color w:val="000000"/>
          <w:kern w:val="0"/>
          <w:sz w:val="32"/>
          <w:szCs w:val="32"/>
        </w:rPr>
        <w:t>CEP17</w:t>
      </w:r>
      <w:r>
        <w:rPr>
          <w:rFonts w:ascii="Times New Roman" w:eastAsia="仿宋_GB2312" w:hAnsi="Times New Roman"/>
          <w:color w:val="000000"/>
          <w:kern w:val="0"/>
          <w:sz w:val="32"/>
          <w:szCs w:val="32"/>
        </w:rPr>
        <w:t>总拷贝数的比值</w:t>
      </w:r>
      <w:bookmarkEnd w:id="0"/>
      <w:bookmarkEnd w:id="1"/>
      <w:r>
        <w:rPr>
          <w:rFonts w:ascii="Times New Roman" w:eastAsia="仿宋_GB2312" w:hAnsi="Times New Roman"/>
          <w:color w:val="000000"/>
          <w:kern w:val="0"/>
          <w:sz w:val="32"/>
          <w:szCs w:val="32"/>
        </w:rPr>
        <w:t>（双信号）的形式明确阳性判断值。</w:t>
      </w:r>
    </w:p>
    <w:p w:rsidR="009A28FC" w:rsidRDefault="00401542">
      <w:pPr>
        <w:spacing w:line="52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s="宋体" w:hint="eastAsia"/>
          <w:color w:val="000000"/>
          <w:sz w:val="32"/>
          <w:szCs w:val="32"/>
        </w:rPr>
        <w:t>9.</w:t>
      </w:r>
      <w:r>
        <w:rPr>
          <w:rFonts w:ascii="Times New Roman" w:eastAsia="仿宋_GB2312" w:hAnsi="Times New Roman" w:cs="宋体" w:hint="eastAsia"/>
          <w:color w:val="000000"/>
          <w:sz w:val="32"/>
          <w:szCs w:val="32"/>
        </w:rPr>
        <w:t>【检验结果的解释】</w:t>
      </w:r>
      <w:r>
        <w:rPr>
          <w:rFonts w:ascii="Times New Roman" w:eastAsia="仿宋_GB2312" w:hAnsi="Times New Roman" w:cs="宋体" w:hint="eastAsia"/>
          <w:color w:val="000000"/>
          <w:sz w:val="32"/>
          <w:szCs w:val="32"/>
        </w:rPr>
        <w:br/>
      </w:r>
      <w:r>
        <w:rPr>
          <w:rFonts w:ascii="Times New Roman" w:eastAsia="仿宋_GB2312" w:hAnsi="Times New Roman" w:cs="宋体" w:hint="eastAsia"/>
          <w:color w:val="000000"/>
          <w:sz w:val="32"/>
          <w:szCs w:val="32"/>
        </w:rPr>
        <w:t xml:space="preserve">　</w:t>
      </w:r>
      <w:r>
        <w:rPr>
          <w:rFonts w:ascii="Times New Roman" w:eastAsia="仿宋_GB2312" w:hAnsi="Times New Roman" w:cs="宋体" w:hint="eastAsia"/>
          <w:color w:val="000000"/>
          <w:sz w:val="32"/>
          <w:szCs w:val="32"/>
        </w:rPr>
        <w:t xml:space="preserve">  </w:t>
      </w:r>
      <w:bookmarkStart w:id="2" w:name="_GoBack"/>
      <w:bookmarkEnd w:id="2"/>
      <w:r>
        <w:rPr>
          <w:rFonts w:ascii="Times New Roman" w:eastAsia="仿宋_GB2312" w:hAnsi="Times New Roman"/>
          <w:color w:val="000000"/>
          <w:kern w:val="0"/>
          <w:sz w:val="32"/>
          <w:szCs w:val="32"/>
        </w:rPr>
        <w:t>9.1</w:t>
      </w:r>
      <w:r>
        <w:rPr>
          <w:rFonts w:ascii="Times New Roman" w:eastAsia="仿宋_GB2312" w:hAnsi="Times New Roman"/>
          <w:color w:val="000000"/>
          <w:kern w:val="0"/>
          <w:sz w:val="32"/>
          <w:szCs w:val="32"/>
        </w:rPr>
        <w:t>从细胞核形态、探针信号强度、背景情</w:t>
      </w:r>
      <w:r>
        <w:rPr>
          <w:rFonts w:ascii="Times New Roman" w:eastAsia="仿宋_GB2312" w:hAnsi="Times New Roman"/>
          <w:color w:val="000000"/>
          <w:kern w:val="0"/>
          <w:sz w:val="32"/>
          <w:szCs w:val="32"/>
        </w:rPr>
        <w:t>况等多方面，详述杂交后样本玻片的有效性评估标准。建议对不符合有效性评估标准情况发生时的常见问题及解决方法以列表的形式明确。</w:t>
      </w:r>
    </w:p>
    <w:p w:rsidR="009A28FC" w:rsidRDefault="00401542">
      <w:pPr>
        <w:spacing w:line="52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9.2</w:t>
      </w:r>
      <w:r>
        <w:rPr>
          <w:rFonts w:ascii="Times New Roman" w:eastAsia="仿宋_GB2312" w:hAnsi="Times New Roman"/>
          <w:color w:val="000000"/>
          <w:kern w:val="0"/>
          <w:sz w:val="32"/>
          <w:szCs w:val="32"/>
        </w:rPr>
        <w:t>明确目标区域的确定</w:t>
      </w:r>
      <w:proofErr w:type="gramStart"/>
      <w:r>
        <w:rPr>
          <w:rFonts w:ascii="Times New Roman" w:eastAsia="仿宋_GB2312" w:hAnsi="Times New Roman"/>
          <w:color w:val="000000"/>
          <w:kern w:val="0"/>
          <w:sz w:val="32"/>
          <w:szCs w:val="32"/>
        </w:rPr>
        <w:t>方法及仅对</w:t>
      </w:r>
      <w:proofErr w:type="gramEnd"/>
      <w:r>
        <w:rPr>
          <w:rFonts w:ascii="Times New Roman" w:eastAsia="仿宋_GB2312" w:hAnsi="Times New Roman"/>
          <w:color w:val="000000"/>
          <w:kern w:val="0"/>
          <w:sz w:val="32"/>
          <w:szCs w:val="32"/>
        </w:rPr>
        <w:t>肿瘤细胞进行计数的要求；明确细胞计数的具体方法，包括每个样本初始读取细胞数及结果不确定样本的处理方法。明确</w:t>
      </w:r>
      <w:r>
        <w:rPr>
          <w:rFonts w:ascii="Times New Roman" w:eastAsia="仿宋_GB2312" w:hAnsi="Times New Roman"/>
          <w:color w:val="000000"/>
          <w:kern w:val="0"/>
          <w:sz w:val="32"/>
          <w:szCs w:val="32"/>
        </w:rPr>
        <w:t>HER2</w:t>
      </w:r>
      <w:r>
        <w:rPr>
          <w:rFonts w:ascii="Times New Roman" w:eastAsia="仿宋_GB2312" w:hAnsi="Times New Roman"/>
          <w:color w:val="000000"/>
          <w:kern w:val="0"/>
          <w:sz w:val="32"/>
          <w:szCs w:val="32"/>
        </w:rPr>
        <w:t>扩增异质性的处理方法。</w:t>
      </w:r>
    </w:p>
    <w:p w:rsidR="009A28FC" w:rsidRDefault="00401542">
      <w:pPr>
        <w:spacing w:line="520" w:lineRule="exact"/>
        <w:ind w:firstLineChars="200" w:firstLine="640"/>
        <w:rPr>
          <w:rFonts w:ascii="Times New Roman" w:eastAsia="仿宋_GB2312" w:hAnsi="Times New Roman"/>
          <w:sz w:val="32"/>
          <w:szCs w:val="32"/>
        </w:rPr>
      </w:pPr>
      <w:r>
        <w:rPr>
          <w:rFonts w:ascii="Times New Roman" w:eastAsia="仿宋_GB2312" w:hAnsi="Times New Roman"/>
          <w:color w:val="000000"/>
          <w:kern w:val="0"/>
          <w:sz w:val="32"/>
          <w:szCs w:val="32"/>
        </w:rPr>
        <w:t>可以列表的形式详述计数与阴阳性判定规则，应配合清晰彩图图例。</w:t>
      </w:r>
      <w:r>
        <w:rPr>
          <w:rFonts w:ascii="Times New Roman" w:eastAsia="仿宋_GB2312" w:hAnsi="Times New Roman" w:hint="eastAsia"/>
          <w:color w:val="000000"/>
          <w:kern w:val="0"/>
          <w:sz w:val="32"/>
          <w:szCs w:val="32"/>
        </w:rPr>
        <w:t>明确对结果不确定样本的检测要求。</w:t>
      </w:r>
    </w:p>
    <w:p w:rsidR="009A28FC" w:rsidRDefault="00401542">
      <w:pPr>
        <w:spacing w:line="52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s="宋体" w:hint="eastAsia"/>
          <w:color w:val="000000"/>
          <w:sz w:val="32"/>
          <w:szCs w:val="32"/>
        </w:rPr>
        <w:t>10.</w:t>
      </w:r>
      <w:r>
        <w:rPr>
          <w:rFonts w:ascii="Times New Roman" w:eastAsia="仿宋_GB2312" w:hAnsi="Times New Roman" w:cs="宋体" w:hint="eastAsia"/>
          <w:color w:val="000000"/>
          <w:sz w:val="32"/>
          <w:szCs w:val="32"/>
        </w:rPr>
        <w:t>【检验方法局限性】</w:t>
      </w:r>
      <w:r>
        <w:rPr>
          <w:rFonts w:ascii="Times New Roman" w:eastAsia="仿宋_GB2312" w:hAnsi="Times New Roman" w:cs="宋体" w:hint="eastAsia"/>
          <w:color w:val="000000"/>
          <w:sz w:val="32"/>
          <w:szCs w:val="32"/>
        </w:rPr>
        <w:br/>
      </w:r>
      <w:r>
        <w:rPr>
          <w:rFonts w:ascii="Times New Roman" w:eastAsia="仿宋_GB2312" w:hAnsi="Times New Roman" w:cs="宋体" w:hint="eastAsia"/>
          <w:color w:val="000000"/>
          <w:sz w:val="32"/>
          <w:szCs w:val="32"/>
        </w:rPr>
        <w:t xml:space="preserve">　　</w:t>
      </w:r>
      <w:r>
        <w:rPr>
          <w:rFonts w:ascii="Times New Roman" w:eastAsia="仿宋_GB2312" w:hAnsi="Times New Roman"/>
          <w:color w:val="000000"/>
          <w:kern w:val="0"/>
          <w:sz w:val="32"/>
          <w:szCs w:val="32"/>
        </w:rPr>
        <w:t>综合产品的预期用途、临床背景、检测方法及适用范围等信息，对可能出现的局限性进行相关说明，主要</w:t>
      </w:r>
      <w:r>
        <w:rPr>
          <w:rFonts w:ascii="Times New Roman" w:eastAsia="仿宋_GB2312" w:hAnsi="Times New Roman"/>
          <w:color w:val="000000"/>
          <w:kern w:val="0"/>
          <w:sz w:val="32"/>
          <w:szCs w:val="32"/>
        </w:rPr>
        <w:t>包括以下描述，请申请人选择适用的条款在产品说明书中予以阐述。</w:t>
      </w:r>
    </w:p>
    <w:p w:rsidR="009A28FC" w:rsidRDefault="00401542">
      <w:pPr>
        <w:spacing w:line="52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10.1</w:t>
      </w:r>
      <w:r>
        <w:rPr>
          <w:rFonts w:ascii="Times New Roman" w:eastAsia="仿宋_GB2312" w:hAnsi="Times New Roman"/>
          <w:color w:val="000000"/>
          <w:kern w:val="0"/>
          <w:sz w:val="32"/>
          <w:szCs w:val="32"/>
        </w:rPr>
        <w:t>本试剂盒为体外诊断试剂，检测结果的临床判定均应结合患者医疗病史和其他临床诊断结果进行综合评估，不得作为临床诊治的唯一依据。</w:t>
      </w:r>
    </w:p>
    <w:p w:rsidR="009A28FC" w:rsidRDefault="00401542">
      <w:pPr>
        <w:spacing w:line="52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10.2</w:t>
      </w:r>
      <w:r>
        <w:rPr>
          <w:rFonts w:ascii="Times New Roman" w:eastAsia="仿宋_GB2312" w:hAnsi="Times New Roman"/>
          <w:color w:val="000000"/>
          <w:kern w:val="0"/>
          <w:sz w:val="32"/>
          <w:szCs w:val="32"/>
        </w:rPr>
        <w:t>肿瘤组织</w:t>
      </w:r>
      <w:r>
        <w:rPr>
          <w:rFonts w:ascii="Times New Roman" w:eastAsia="仿宋_GB2312" w:hAnsi="Times New Roman"/>
          <w:color w:val="000000"/>
          <w:kern w:val="0"/>
          <w:sz w:val="32"/>
          <w:szCs w:val="32"/>
        </w:rPr>
        <w:t>HER2</w:t>
      </w:r>
      <w:r>
        <w:rPr>
          <w:rFonts w:ascii="Times New Roman" w:eastAsia="仿宋_GB2312" w:hAnsi="Times New Roman"/>
          <w:color w:val="000000"/>
          <w:kern w:val="0"/>
          <w:sz w:val="32"/>
          <w:szCs w:val="32"/>
        </w:rPr>
        <w:t>基因表达的异质性可能影响检测结果。例如可导致</w:t>
      </w:r>
      <w:r>
        <w:rPr>
          <w:rFonts w:ascii="Times New Roman" w:eastAsia="仿宋_GB2312" w:hAnsi="Times New Roman"/>
          <w:color w:val="000000"/>
          <w:kern w:val="0"/>
          <w:sz w:val="32"/>
          <w:szCs w:val="32"/>
        </w:rPr>
        <w:t>IHC</w:t>
      </w:r>
      <w:r>
        <w:rPr>
          <w:rFonts w:ascii="Times New Roman" w:eastAsia="仿宋_GB2312" w:hAnsi="Times New Roman"/>
          <w:color w:val="000000"/>
          <w:kern w:val="0"/>
          <w:sz w:val="32"/>
          <w:szCs w:val="32"/>
        </w:rPr>
        <w:t>与</w:t>
      </w:r>
      <w:r>
        <w:rPr>
          <w:rFonts w:ascii="Times New Roman" w:eastAsia="仿宋_GB2312" w:hAnsi="Times New Roman"/>
          <w:color w:val="000000"/>
          <w:kern w:val="0"/>
          <w:sz w:val="32"/>
          <w:szCs w:val="32"/>
        </w:rPr>
        <w:t>ISH</w:t>
      </w:r>
      <w:r>
        <w:rPr>
          <w:rFonts w:ascii="Times New Roman" w:eastAsia="仿宋_GB2312" w:hAnsi="Times New Roman"/>
          <w:color w:val="000000"/>
          <w:kern w:val="0"/>
          <w:sz w:val="32"/>
          <w:szCs w:val="32"/>
        </w:rPr>
        <w:t>检测、</w:t>
      </w:r>
      <w:proofErr w:type="gramStart"/>
      <w:r>
        <w:rPr>
          <w:rFonts w:ascii="Times New Roman" w:eastAsia="仿宋_GB2312" w:hAnsi="Times New Roman"/>
          <w:color w:val="000000"/>
          <w:kern w:val="0"/>
          <w:sz w:val="32"/>
          <w:szCs w:val="32"/>
        </w:rPr>
        <w:t>原发灶与转移</w:t>
      </w:r>
      <w:proofErr w:type="gramEnd"/>
      <w:r>
        <w:rPr>
          <w:rFonts w:ascii="Times New Roman" w:eastAsia="仿宋_GB2312" w:hAnsi="Times New Roman"/>
          <w:color w:val="000000"/>
          <w:kern w:val="0"/>
          <w:sz w:val="32"/>
          <w:szCs w:val="32"/>
        </w:rPr>
        <w:t>灶、活检标本与手</w:t>
      </w:r>
      <w:r>
        <w:rPr>
          <w:rFonts w:ascii="Times New Roman" w:eastAsia="仿宋_GB2312" w:hAnsi="Times New Roman"/>
          <w:color w:val="000000"/>
          <w:kern w:val="0"/>
          <w:sz w:val="32"/>
          <w:szCs w:val="32"/>
        </w:rPr>
        <w:lastRenderedPageBreak/>
        <w:t>术切除标本的检测结果不一致。异质性在胃癌中更常见。对于胃镜活检标本，多点活检有助于减少肿瘤异质性的影响，提高检测的准确性。另外，新辅助治疗会影响胃癌</w:t>
      </w:r>
      <w:r>
        <w:rPr>
          <w:rFonts w:ascii="Times New Roman" w:eastAsia="仿宋_GB2312" w:hAnsi="Times New Roman"/>
          <w:color w:val="000000"/>
          <w:kern w:val="0"/>
          <w:sz w:val="32"/>
          <w:szCs w:val="32"/>
        </w:rPr>
        <w:t>HER2</w:t>
      </w:r>
      <w:r>
        <w:rPr>
          <w:rFonts w:ascii="Times New Roman" w:eastAsia="仿宋_GB2312" w:hAnsi="Times New Roman"/>
          <w:color w:val="000000"/>
          <w:kern w:val="0"/>
          <w:sz w:val="32"/>
          <w:szCs w:val="32"/>
        </w:rPr>
        <w:t>状态，治疗前活检标本和治疗后手术标本的综合判断</w:t>
      </w:r>
      <w:r>
        <w:rPr>
          <w:rFonts w:ascii="Times New Roman" w:eastAsia="仿宋_GB2312" w:hAnsi="Times New Roman"/>
          <w:color w:val="000000"/>
          <w:kern w:val="0"/>
          <w:sz w:val="32"/>
          <w:szCs w:val="32"/>
        </w:rPr>
        <w:t>有助于更好的用药指导。</w:t>
      </w:r>
    </w:p>
    <w:p w:rsidR="009A28FC" w:rsidRDefault="00401542">
      <w:pPr>
        <w:spacing w:line="52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10.3</w:t>
      </w:r>
      <w:r>
        <w:rPr>
          <w:rFonts w:ascii="Times New Roman" w:eastAsia="仿宋_GB2312" w:hAnsi="Times New Roman"/>
          <w:color w:val="000000"/>
          <w:kern w:val="0"/>
          <w:sz w:val="32"/>
          <w:szCs w:val="32"/>
        </w:rPr>
        <w:t>本试剂盒检测结果受样本来源、样本采集过程、样本质量、样本运输条件、样本预处理等因素影响。同时由于结果判断的主观性，可能导致得出假阳性或假阴性的检测结果，使用者应了解检测过程中可能存在的潜在错误导致结果不准确等局限性。</w:t>
      </w:r>
    </w:p>
    <w:p w:rsidR="009A28FC" w:rsidRDefault="00401542">
      <w:pPr>
        <w:spacing w:line="52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10.4</w:t>
      </w:r>
      <w:r>
        <w:rPr>
          <w:rFonts w:ascii="Times New Roman" w:eastAsia="仿宋_GB2312" w:hAnsi="Times New Roman"/>
          <w:color w:val="000000"/>
          <w:kern w:val="0"/>
          <w:sz w:val="32"/>
          <w:szCs w:val="32"/>
        </w:rPr>
        <w:t>检测结果如与组织病理学特征不符，应核实病理诊断或重新检测。</w:t>
      </w:r>
    </w:p>
    <w:p w:rsidR="009A28FC" w:rsidRDefault="00401542">
      <w:pPr>
        <w:spacing w:line="52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10.5</w:t>
      </w:r>
      <w:r>
        <w:rPr>
          <w:rFonts w:ascii="Times New Roman" w:eastAsia="仿宋_GB2312" w:hAnsi="Times New Roman"/>
          <w:color w:val="000000"/>
          <w:kern w:val="0"/>
          <w:sz w:val="32"/>
          <w:szCs w:val="32"/>
        </w:rPr>
        <w:t>本产品的性能指标是基于说明书所述检测程序获得，对该程序进行更改，可能会改变该检验的结果。</w:t>
      </w:r>
    </w:p>
    <w:p w:rsidR="009A28FC" w:rsidRDefault="00401542">
      <w:pPr>
        <w:spacing w:line="520" w:lineRule="exact"/>
        <w:ind w:firstLineChars="200" w:firstLine="640"/>
        <w:rPr>
          <w:rFonts w:ascii="Times New Roman" w:eastAsia="仿宋_GB2312" w:hAnsi="Times New Roman"/>
          <w:sz w:val="32"/>
          <w:szCs w:val="32"/>
        </w:rPr>
      </w:pPr>
      <w:r>
        <w:rPr>
          <w:rFonts w:ascii="Times New Roman" w:eastAsia="仿宋_GB2312" w:hAnsi="Times New Roman"/>
          <w:color w:val="000000"/>
          <w:kern w:val="0"/>
          <w:sz w:val="32"/>
          <w:szCs w:val="32"/>
        </w:rPr>
        <w:t>10.6</w:t>
      </w:r>
      <w:r>
        <w:rPr>
          <w:rFonts w:ascii="Times New Roman" w:eastAsia="仿宋_GB2312" w:hAnsi="Times New Roman"/>
          <w:color w:val="000000"/>
          <w:kern w:val="0"/>
          <w:sz w:val="32"/>
          <w:szCs w:val="32"/>
        </w:rPr>
        <w:t>本试剂仅对经</w:t>
      </w:r>
      <w:r>
        <w:rPr>
          <w:rFonts w:ascii="Times New Roman" w:eastAsia="仿宋_GB2312" w:hAnsi="Times New Roman"/>
          <w:color w:val="000000"/>
          <w:kern w:val="0"/>
          <w:sz w:val="32"/>
          <w:szCs w:val="32"/>
        </w:rPr>
        <w:t>10%</w:t>
      </w:r>
      <w:r>
        <w:rPr>
          <w:rFonts w:ascii="Times New Roman" w:eastAsia="仿宋_GB2312" w:hAnsi="Times New Roman"/>
          <w:color w:val="000000"/>
          <w:kern w:val="0"/>
          <w:sz w:val="32"/>
          <w:szCs w:val="32"/>
        </w:rPr>
        <w:t>中性缓冲福尔马林固定石蜡包埋的组织进行了验证（如适用），不得用于其他样</w:t>
      </w:r>
      <w:r>
        <w:rPr>
          <w:rFonts w:ascii="Times New Roman" w:eastAsia="仿宋_GB2312" w:hAnsi="Times New Roman"/>
          <w:color w:val="000000"/>
          <w:kern w:val="0"/>
          <w:sz w:val="32"/>
          <w:szCs w:val="32"/>
        </w:rPr>
        <w:t>本类型或流式细胞检测等其他用途。</w:t>
      </w:r>
    </w:p>
    <w:p w:rsidR="009A28FC" w:rsidRDefault="00401542">
      <w:pPr>
        <w:spacing w:line="520" w:lineRule="exact"/>
        <w:ind w:firstLineChars="200" w:firstLine="640"/>
        <w:rPr>
          <w:rFonts w:ascii="Times New Roman" w:eastAsia="仿宋_GB2312" w:hAnsi="Times New Roman"/>
          <w:sz w:val="32"/>
          <w:szCs w:val="32"/>
        </w:rPr>
      </w:pPr>
      <w:r>
        <w:rPr>
          <w:rFonts w:ascii="Times New Roman" w:eastAsia="仿宋_GB2312" w:hAnsi="Times New Roman" w:cs="宋体" w:hint="eastAsia"/>
          <w:color w:val="000000"/>
          <w:sz w:val="32"/>
          <w:szCs w:val="32"/>
        </w:rPr>
        <w:t>11.</w:t>
      </w:r>
      <w:r>
        <w:rPr>
          <w:rFonts w:ascii="Times New Roman" w:eastAsia="仿宋_GB2312" w:hAnsi="Times New Roman" w:cs="宋体" w:hint="eastAsia"/>
          <w:color w:val="000000"/>
          <w:sz w:val="32"/>
          <w:szCs w:val="32"/>
        </w:rPr>
        <w:t>【产品性能指标】</w:t>
      </w:r>
      <w:r>
        <w:rPr>
          <w:rFonts w:ascii="Times New Roman" w:eastAsia="仿宋_GB2312" w:hAnsi="Times New Roman" w:cs="宋体" w:hint="eastAsia"/>
          <w:color w:val="000000"/>
          <w:sz w:val="32"/>
          <w:szCs w:val="32"/>
        </w:rPr>
        <w:t xml:space="preserve"> </w:t>
      </w:r>
    </w:p>
    <w:p w:rsidR="009A28FC" w:rsidRDefault="00401542">
      <w:pPr>
        <w:spacing w:line="52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根据分析性能评估研究结果，详述以下性能指标，包括研究方法和评估结果：</w:t>
      </w:r>
    </w:p>
    <w:p w:rsidR="009A28FC" w:rsidRDefault="00401542">
      <w:pPr>
        <w:spacing w:line="52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11.1</w:t>
      </w:r>
      <w:r>
        <w:rPr>
          <w:rFonts w:ascii="Times New Roman" w:eastAsia="仿宋_GB2312" w:hAnsi="Times New Roman"/>
          <w:color w:val="000000"/>
          <w:kern w:val="0"/>
          <w:sz w:val="32"/>
          <w:szCs w:val="32"/>
        </w:rPr>
        <w:t>灵敏度：在乳腺浸润癌</w:t>
      </w:r>
      <w:r>
        <w:rPr>
          <w:rFonts w:ascii="Times New Roman" w:eastAsia="仿宋_GB2312" w:hAnsi="Times New Roman"/>
          <w:color w:val="000000"/>
          <w:kern w:val="0"/>
          <w:sz w:val="32"/>
          <w:szCs w:val="32"/>
        </w:rPr>
        <w:t>/</w:t>
      </w:r>
      <w:r>
        <w:rPr>
          <w:rFonts w:ascii="Times New Roman" w:eastAsia="仿宋_GB2312" w:hAnsi="Times New Roman"/>
          <w:color w:val="000000"/>
          <w:kern w:val="0"/>
          <w:sz w:val="32"/>
          <w:szCs w:val="32"/>
        </w:rPr>
        <w:t>胃癌</w:t>
      </w:r>
      <w:r>
        <w:rPr>
          <w:rFonts w:ascii="Times New Roman" w:eastAsia="仿宋_GB2312" w:hAnsi="Times New Roman" w:hint="eastAsia"/>
          <w:color w:val="000000"/>
          <w:kern w:val="0"/>
          <w:sz w:val="32"/>
          <w:szCs w:val="32"/>
        </w:rPr>
        <w:t>等</w:t>
      </w:r>
      <w:r>
        <w:rPr>
          <w:rFonts w:ascii="Times New Roman" w:eastAsia="仿宋_GB2312" w:hAnsi="Times New Roman"/>
          <w:color w:val="000000"/>
          <w:kern w:val="0"/>
          <w:sz w:val="32"/>
          <w:szCs w:val="32"/>
        </w:rPr>
        <w:t>病例的组织样本，以及癌</w:t>
      </w:r>
      <w:proofErr w:type="gramStart"/>
      <w:r>
        <w:rPr>
          <w:rFonts w:ascii="Times New Roman" w:eastAsia="仿宋_GB2312" w:hAnsi="Times New Roman"/>
          <w:color w:val="000000"/>
          <w:kern w:val="0"/>
          <w:sz w:val="32"/>
          <w:szCs w:val="32"/>
        </w:rPr>
        <w:t>旁正常</w:t>
      </w:r>
      <w:proofErr w:type="gramEnd"/>
      <w:r>
        <w:rPr>
          <w:rFonts w:ascii="Times New Roman" w:eastAsia="仿宋_GB2312" w:hAnsi="Times New Roman"/>
          <w:color w:val="000000"/>
          <w:kern w:val="0"/>
          <w:sz w:val="32"/>
          <w:szCs w:val="32"/>
        </w:rPr>
        <w:t>组织或者良性疾病组织样本中探针与目标基因位点的结合效率。</w:t>
      </w:r>
    </w:p>
    <w:p w:rsidR="009A28FC" w:rsidRDefault="00401542">
      <w:pPr>
        <w:spacing w:line="52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11.2</w:t>
      </w:r>
      <w:r>
        <w:rPr>
          <w:rFonts w:ascii="Times New Roman" w:eastAsia="仿宋_GB2312" w:hAnsi="Times New Roman"/>
          <w:color w:val="000000"/>
          <w:kern w:val="0"/>
          <w:sz w:val="32"/>
          <w:szCs w:val="32"/>
        </w:rPr>
        <w:t>特异性：</w:t>
      </w:r>
      <w:r>
        <w:rPr>
          <w:rFonts w:ascii="Times New Roman" w:eastAsia="仿宋_GB2312" w:hAnsi="Times New Roman"/>
          <w:color w:val="000000"/>
          <w:kern w:val="0"/>
          <w:sz w:val="32"/>
          <w:szCs w:val="32"/>
        </w:rPr>
        <w:t>HER2</w:t>
      </w:r>
      <w:r>
        <w:rPr>
          <w:rFonts w:ascii="Times New Roman" w:eastAsia="仿宋_GB2312" w:hAnsi="Times New Roman"/>
          <w:color w:val="000000"/>
          <w:kern w:val="0"/>
          <w:sz w:val="32"/>
          <w:szCs w:val="32"/>
        </w:rPr>
        <w:t>和</w:t>
      </w:r>
      <w:r>
        <w:rPr>
          <w:rFonts w:ascii="Times New Roman" w:eastAsia="仿宋_GB2312" w:hAnsi="Times New Roman"/>
          <w:color w:val="000000"/>
          <w:kern w:val="0"/>
          <w:sz w:val="32"/>
          <w:szCs w:val="32"/>
        </w:rPr>
        <w:t>CEP17</w:t>
      </w:r>
      <w:r>
        <w:rPr>
          <w:rFonts w:ascii="Times New Roman" w:eastAsia="仿宋_GB2312" w:hAnsi="Times New Roman"/>
          <w:color w:val="000000"/>
          <w:kern w:val="0"/>
          <w:sz w:val="32"/>
          <w:szCs w:val="32"/>
        </w:rPr>
        <w:t>探针对目标序列识别的特异性。</w:t>
      </w:r>
    </w:p>
    <w:p w:rsidR="009A28FC" w:rsidRDefault="00401542">
      <w:pPr>
        <w:spacing w:line="52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11.3</w:t>
      </w:r>
      <w:r>
        <w:rPr>
          <w:rFonts w:ascii="Times New Roman" w:eastAsia="仿宋_GB2312" w:hAnsi="Times New Roman"/>
          <w:color w:val="000000"/>
          <w:kern w:val="0"/>
          <w:sz w:val="32"/>
          <w:szCs w:val="32"/>
        </w:rPr>
        <w:t>阴、阳性符合率：在不同组织类型中</w:t>
      </w:r>
      <w:r>
        <w:rPr>
          <w:rFonts w:ascii="Times New Roman" w:eastAsia="仿宋_GB2312" w:hAnsi="Times New Roman"/>
          <w:color w:val="000000"/>
          <w:kern w:val="0"/>
          <w:sz w:val="32"/>
          <w:szCs w:val="32"/>
        </w:rPr>
        <w:t>HER2</w:t>
      </w:r>
      <w:r>
        <w:rPr>
          <w:rFonts w:ascii="Times New Roman" w:eastAsia="仿宋_GB2312" w:hAnsi="Times New Roman"/>
          <w:color w:val="000000"/>
          <w:kern w:val="0"/>
          <w:sz w:val="32"/>
          <w:szCs w:val="32"/>
        </w:rPr>
        <w:t>基因的检出</w:t>
      </w:r>
      <w:r>
        <w:rPr>
          <w:rFonts w:ascii="Times New Roman" w:eastAsia="仿宋_GB2312" w:hAnsi="Times New Roman"/>
          <w:color w:val="000000"/>
          <w:kern w:val="0"/>
          <w:sz w:val="32"/>
          <w:szCs w:val="32"/>
        </w:rPr>
        <w:lastRenderedPageBreak/>
        <w:t>能力和准确性。</w:t>
      </w:r>
    </w:p>
    <w:p w:rsidR="009A28FC" w:rsidRDefault="00401542">
      <w:pPr>
        <w:spacing w:line="52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11.4</w:t>
      </w:r>
      <w:r>
        <w:rPr>
          <w:rFonts w:ascii="Times New Roman" w:eastAsia="仿宋_GB2312" w:hAnsi="Times New Roman"/>
          <w:color w:val="000000"/>
          <w:kern w:val="0"/>
          <w:sz w:val="32"/>
          <w:szCs w:val="32"/>
        </w:rPr>
        <w:t>精密度：批内、</w:t>
      </w:r>
      <w:proofErr w:type="gramStart"/>
      <w:r>
        <w:rPr>
          <w:rFonts w:ascii="Times New Roman" w:eastAsia="仿宋_GB2312" w:hAnsi="Times New Roman"/>
          <w:color w:val="000000"/>
          <w:kern w:val="0"/>
          <w:sz w:val="32"/>
          <w:szCs w:val="32"/>
        </w:rPr>
        <w:t>批间精密度</w:t>
      </w:r>
      <w:proofErr w:type="gramEnd"/>
      <w:r>
        <w:rPr>
          <w:rFonts w:ascii="Times New Roman" w:eastAsia="仿宋_GB2312" w:hAnsi="Times New Roman"/>
          <w:color w:val="000000"/>
          <w:kern w:val="0"/>
          <w:sz w:val="32"/>
          <w:szCs w:val="32"/>
        </w:rPr>
        <w:t>及不同时间、地点、检测系统（如适用）、人员之间的精密度。</w:t>
      </w:r>
    </w:p>
    <w:p w:rsidR="009A28FC" w:rsidRDefault="00401542">
      <w:pPr>
        <w:spacing w:line="52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11.5</w:t>
      </w:r>
      <w:r>
        <w:rPr>
          <w:rFonts w:ascii="Times New Roman" w:eastAsia="仿宋_GB2312" w:hAnsi="Times New Roman"/>
          <w:color w:val="000000"/>
          <w:kern w:val="0"/>
          <w:sz w:val="32"/>
          <w:szCs w:val="32"/>
        </w:rPr>
        <w:t>临床试验数据总结。</w:t>
      </w:r>
    </w:p>
    <w:p w:rsidR="009A28FC" w:rsidRDefault="00401542">
      <w:pPr>
        <w:spacing w:line="520" w:lineRule="exact"/>
        <w:ind w:firstLineChars="200" w:firstLine="640"/>
        <w:rPr>
          <w:rFonts w:ascii="Times New Roman" w:eastAsia="仿宋_GB2312" w:hAnsi="Times New Roman"/>
          <w:sz w:val="32"/>
          <w:szCs w:val="32"/>
        </w:rPr>
      </w:pPr>
      <w:r>
        <w:rPr>
          <w:rFonts w:ascii="Times New Roman" w:eastAsia="仿宋_GB2312" w:hAnsi="Times New Roman" w:cs="宋体" w:hint="eastAsia"/>
          <w:color w:val="000000"/>
          <w:sz w:val="32"/>
          <w:szCs w:val="32"/>
        </w:rPr>
        <w:t>12.</w:t>
      </w:r>
      <w:r>
        <w:rPr>
          <w:rFonts w:ascii="Times New Roman" w:eastAsia="仿宋_GB2312" w:hAnsi="Times New Roman" w:cs="宋体" w:hint="eastAsia"/>
          <w:color w:val="000000"/>
          <w:sz w:val="32"/>
          <w:szCs w:val="32"/>
        </w:rPr>
        <w:t>【注意事项】</w:t>
      </w:r>
      <w:r>
        <w:rPr>
          <w:rFonts w:ascii="Times New Roman" w:eastAsia="仿宋_GB2312" w:hAnsi="Times New Roman" w:cs="宋体" w:hint="eastAsia"/>
          <w:color w:val="000000"/>
          <w:sz w:val="32"/>
          <w:szCs w:val="32"/>
        </w:rPr>
        <w:br/>
      </w:r>
      <w:r>
        <w:rPr>
          <w:rFonts w:ascii="Times New Roman" w:eastAsia="仿宋_GB2312" w:hAnsi="Times New Roman" w:cs="宋体" w:hint="eastAsia"/>
          <w:color w:val="000000"/>
          <w:sz w:val="32"/>
          <w:szCs w:val="32"/>
        </w:rPr>
        <w:t xml:space="preserve">　</w:t>
      </w:r>
      <w:r>
        <w:rPr>
          <w:rFonts w:ascii="Times New Roman" w:eastAsia="仿宋_GB2312" w:hAnsi="Times New Roman" w:cs="宋体" w:hint="eastAsia"/>
          <w:color w:val="000000"/>
          <w:sz w:val="32"/>
          <w:szCs w:val="32"/>
        </w:rPr>
        <w:t xml:space="preserve"> </w:t>
      </w:r>
      <w:r>
        <w:rPr>
          <w:rFonts w:ascii="Times New Roman" w:eastAsia="仿宋_GB2312" w:hAnsi="Times New Roman" w:cs="宋体"/>
          <w:color w:val="000000"/>
          <w:sz w:val="32"/>
          <w:szCs w:val="32"/>
        </w:rPr>
        <w:t xml:space="preserve"> </w:t>
      </w:r>
      <w:r>
        <w:rPr>
          <w:rFonts w:ascii="Times New Roman" w:eastAsia="仿宋_GB2312" w:hAnsi="Times New Roman"/>
          <w:sz w:val="32"/>
          <w:szCs w:val="32"/>
        </w:rPr>
        <w:t>1</w:t>
      </w:r>
      <w:r>
        <w:rPr>
          <w:rFonts w:ascii="Times New Roman" w:eastAsia="仿宋_GB2312" w:hAnsi="Times New Roman" w:hint="eastAsia"/>
          <w:sz w:val="32"/>
          <w:szCs w:val="32"/>
        </w:rPr>
        <w:t>2</w:t>
      </w:r>
      <w:r>
        <w:rPr>
          <w:rFonts w:ascii="Times New Roman" w:eastAsia="仿宋_GB2312" w:hAnsi="Times New Roman"/>
          <w:sz w:val="32"/>
          <w:szCs w:val="32"/>
        </w:rPr>
        <w:t>.1</w:t>
      </w:r>
      <w:r>
        <w:rPr>
          <w:rFonts w:ascii="Times New Roman" w:eastAsia="仿宋_GB2312" w:hAnsi="Times New Roman" w:hint="eastAsia"/>
          <w:sz w:val="32"/>
          <w:szCs w:val="32"/>
        </w:rPr>
        <w:t>如产品含有人源或动物源性物质，应给出具有潜在感染性的警告。</w:t>
      </w:r>
    </w:p>
    <w:p w:rsidR="009A28FC" w:rsidRDefault="00401542">
      <w:pPr>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sz w:val="32"/>
          <w:szCs w:val="32"/>
        </w:rPr>
        <w:t>1</w:t>
      </w:r>
      <w:r>
        <w:rPr>
          <w:rFonts w:ascii="Times New Roman" w:eastAsia="仿宋_GB2312" w:hAnsi="Times New Roman" w:hint="eastAsia"/>
          <w:sz w:val="32"/>
          <w:szCs w:val="32"/>
        </w:rPr>
        <w:t>2</w:t>
      </w:r>
      <w:r>
        <w:rPr>
          <w:rFonts w:ascii="Times New Roman" w:eastAsia="仿宋_GB2312" w:hAnsi="Times New Roman"/>
          <w:sz w:val="32"/>
          <w:szCs w:val="32"/>
        </w:rPr>
        <w:t xml:space="preserve">.2 </w:t>
      </w:r>
      <w:r>
        <w:rPr>
          <w:rFonts w:ascii="Times New Roman" w:eastAsia="仿宋_GB2312" w:hAnsi="Times New Roman"/>
          <w:color w:val="000000"/>
          <w:sz w:val="32"/>
          <w:szCs w:val="32"/>
        </w:rPr>
        <w:t>试剂保存运输及使用过程中多种因素可能导致性能变化，如保存运输不当、样本采集、样本处理及检测过程操作不规范等，</w:t>
      </w:r>
      <w:proofErr w:type="gramStart"/>
      <w:r>
        <w:rPr>
          <w:rFonts w:ascii="Times New Roman" w:eastAsia="仿宋_GB2312" w:hAnsi="Times New Roman"/>
          <w:color w:val="000000"/>
          <w:sz w:val="32"/>
          <w:szCs w:val="32"/>
        </w:rPr>
        <w:t>请严格</w:t>
      </w:r>
      <w:proofErr w:type="gramEnd"/>
      <w:r>
        <w:rPr>
          <w:rFonts w:ascii="Times New Roman" w:eastAsia="仿宋_GB2312" w:hAnsi="Times New Roman"/>
          <w:color w:val="000000"/>
          <w:sz w:val="32"/>
          <w:szCs w:val="32"/>
        </w:rPr>
        <w:t>按照说明书操作。</w:t>
      </w:r>
    </w:p>
    <w:p w:rsidR="009A28FC" w:rsidRDefault="00401542">
      <w:pPr>
        <w:spacing w:line="520" w:lineRule="exact"/>
        <w:ind w:firstLineChars="200" w:firstLine="640"/>
        <w:jc w:val="left"/>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12.</w:t>
      </w:r>
      <w:r>
        <w:rPr>
          <w:rFonts w:ascii="Times New Roman" w:eastAsia="仿宋_GB2312" w:hAnsi="Times New Roman" w:hint="eastAsia"/>
          <w:color w:val="000000"/>
          <w:kern w:val="0"/>
          <w:sz w:val="32"/>
          <w:szCs w:val="32"/>
        </w:rPr>
        <w:t>3</w:t>
      </w:r>
      <w:r>
        <w:rPr>
          <w:rFonts w:ascii="Times New Roman" w:eastAsia="仿宋_GB2312" w:hAnsi="Times New Roman"/>
          <w:color w:val="000000"/>
          <w:kern w:val="0"/>
          <w:sz w:val="32"/>
          <w:szCs w:val="32"/>
        </w:rPr>
        <w:t>有关实验操作中涉及试剂的安全性提示，包括对有毒有害物质的防护及危险物品的处理方法等。</w:t>
      </w:r>
    </w:p>
    <w:p w:rsidR="009A28FC" w:rsidRDefault="00401542">
      <w:pPr>
        <w:spacing w:line="520" w:lineRule="exact"/>
        <w:ind w:firstLineChars="200" w:firstLine="640"/>
        <w:jc w:val="left"/>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12.</w:t>
      </w:r>
      <w:r>
        <w:rPr>
          <w:rFonts w:ascii="Times New Roman" w:eastAsia="仿宋_GB2312" w:hAnsi="Times New Roman" w:hint="eastAsia"/>
          <w:color w:val="000000"/>
          <w:kern w:val="0"/>
          <w:sz w:val="32"/>
          <w:szCs w:val="32"/>
        </w:rPr>
        <w:t>4</w:t>
      </w:r>
      <w:r>
        <w:rPr>
          <w:rFonts w:ascii="Times New Roman" w:eastAsia="仿宋_GB2312" w:hAnsi="Times New Roman"/>
          <w:color w:val="000000"/>
          <w:kern w:val="0"/>
          <w:sz w:val="32"/>
          <w:szCs w:val="32"/>
        </w:rPr>
        <w:t>荧光染料在光照条件下容易淬灭。为降低该影响，对所有含荧光探针的溶液，包括杂交后样本载玻片均应尽量避免或者减少在光照条件下保存和处理。</w:t>
      </w:r>
    </w:p>
    <w:p w:rsidR="009A28FC" w:rsidRDefault="00401542">
      <w:pPr>
        <w:spacing w:line="520" w:lineRule="exact"/>
        <w:ind w:firstLineChars="200" w:firstLine="640"/>
        <w:jc w:val="left"/>
        <w:rPr>
          <w:rFonts w:eastAsia="仿宋_GB2312"/>
          <w:color w:val="000000"/>
          <w:kern w:val="0"/>
          <w:sz w:val="32"/>
          <w:szCs w:val="32"/>
        </w:rPr>
      </w:pPr>
      <w:r>
        <w:rPr>
          <w:rFonts w:ascii="Times New Roman" w:eastAsia="仿宋_GB2312" w:hAnsi="Times New Roman"/>
          <w:color w:val="000000"/>
          <w:kern w:val="0"/>
          <w:sz w:val="32"/>
          <w:szCs w:val="32"/>
        </w:rPr>
        <w:t>12.</w:t>
      </w:r>
      <w:r>
        <w:rPr>
          <w:rFonts w:ascii="Times New Roman" w:eastAsia="仿宋_GB2312" w:hAnsi="Times New Roman" w:hint="eastAsia"/>
          <w:color w:val="000000"/>
          <w:kern w:val="0"/>
          <w:sz w:val="32"/>
          <w:szCs w:val="32"/>
        </w:rPr>
        <w:t>5</w:t>
      </w:r>
      <w:r>
        <w:rPr>
          <w:rFonts w:ascii="Times New Roman" w:eastAsia="仿宋_GB2312" w:hAnsi="Times New Roman"/>
          <w:color w:val="000000"/>
          <w:kern w:val="0"/>
          <w:sz w:val="32"/>
          <w:szCs w:val="32"/>
        </w:rPr>
        <w:t>使用校准过的温度计测定溶液、水浴</w:t>
      </w:r>
      <w:r>
        <w:rPr>
          <w:rFonts w:ascii="Times New Roman" w:eastAsia="仿宋_GB2312" w:hAnsi="Times New Roman"/>
          <w:color w:val="000000"/>
          <w:kern w:val="0"/>
          <w:sz w:val="32"/>
          <w:szCs w:val="32"/>
        </w:rPr>
        <w:t>槽和温箱温度。</w:t>
      </w:r>
    </w:p>
    <w:p w:rsidR="009A28FC" w:rsidRDefault="00401542">
      <w:pPr>
        <w:spacing w:line="52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hint="eastAsia"/>
          <w:color w:val="000000"/>
          <w:sz w:val="32"/>
          <w:szCs w:val="32"/>
        </w:rPr>
        <w:br/>
      </w:r>
      <w:r>
        <w:rPr>
          <w:rFonts w:ascii="Times New Roman" w:eastAsia="仿宋_GB2312" w:hAnsi="Times New Roman" w:cs="宋体" w:hint="eastAsia"/>
          <w:color w:val="000000"/>
          <w:sz w:val="32"/>
          <w:szCs w:val="32"/>
        </w:rPr>
        <w:t xml:space="preserve">　　</w:t>
      </w:r>
      <w:r>
        <w:rPr>
          <w:rFonts w:ascii="Times New Roman" w:eastAsia="黑体" w:hAnsi="Times New Roman" w:cs="宋体" w:hint="eastAsia"/>
          <w:color w:val="000000"/>
          <w:sz w:val="32"/>
          <w:szCs w:val="32"/>
        </w:rPr>
        <w:t>三</w:t>
      </w:r>
      <w:r>
        <w:rPr>
          <w:rFonts w:ascii="Times New Roman" w:eastAsia="黑体" w:hAnsi="Times New Roman" w:cs="宋体" w:hint="eastAsia"/>
          <w:bCs/>
          <w:color w:val="000000"/>
          <w:sz w:val="32"/>
          <w:szCs w:val="32"/>
        </w:rPr>
        <w:t>、参考文献</w:t>
      </w:r>
      <w:r>
        <w:rPr>
          <w:rFonts w:ascii="Times New Roman" w:eastAsia="黑体" w:hAnsi="Times New Roman" w:cs="宋体" w:hint="eastAsia"/>
          <w:b/>
          <w:bCs/>
          <w:color w:val="000000"/>
          <w:sz w:val="32"/>
          <w:szCs w:val="32"/>
        </w:rPr>
        <w:br/>
      </w:r>
      <w:r>
        <w:rPr>
          <w:rFonts w:ascii="Times New Roman" w:eastAsia="仿宋_GB2312" w:hAnsi="Times New Roman" w:cs="宋体" w:hint="eastAsia"/>
          <w:color w:val="000000"/>
          <w:sz w:val="32"/>
          <w:szCs w:val="32"/>
        </w:rPr>
        <w:t xml:space="preserve">　　</w:t>
      </w:r>
      <w:r>
        <w:rPr>
          <w:rFonts w:ascii="Times New Roman" w:eastAsia="仿宋_GB2312" w:hAnsi="Times New Roman" w:cs="宋体"/>
          <w:color w:val="000000"/>
          <w:sz w:val="32"/>
          <w:szCs w:val="32"/>
        </w:rPr>
        <w:t>[1]</w:t>
      </w:r>
      <w:r>
        <w:rPr>
          <w:rFonts w:ascii="Times New Roman" w:eastAsia="仿宋_GB2312" w:hAnsi="Times New Roman" w:cs="宋体" w:hint="eastAsia"/>
          <w:color w:val="000000"/>
          <w:sz w:val="32"/>
          <w:szCs w:val="32"/>
        </w:rPr>
        <w:t xml:space="preserve"> </w:t>
      </w:r>
      <w:r>
        <w:rPr>
          <w:rFonts w:ascii="Times New Roman" w:eastAsia="仿宋_GB2312" w:hAnsi="Times New Roman" w:hint="eastAsia"/>
          <w:color w:val="000000"/>
          <w:sz w:val="32"/>
          <w:szCs w:val="32"/>
        </w:rPr>
        <w:t>国家市场监督管理总局</w:t>
      </w:r>
      <w:r>
        <w:rPr>
          <w:rFonts w:ascii="Times New Roman" w:eastAsia="仿宋_GB2312" w:hAnsi="Times New Roman" w:hint="eastAsia"/>
          <w:color w:val="000000"/>
          <w:sz w:val="32"/>
          <w:szCs w:val="32"/>
        </w:rPr>
        <w:t>.</w:t>
      </w:r>
      <w:r>
        <w:rPr>
          <w:rFonts w:ascii="Times New Roman" w:eastAsia="仿宋_GB2312" w:hAnsi="Times New Roman" w:hint="eastAsia"/>
          <w:color w:val="000000"/>
          <w:sz w:val="32"/>
          <w:szCs w:val="32"/>
        </w:rPr>
        <w:t xml:space="preserve"> </w:t>
      </w:r>
      <w:r>
        <w:rPr>
          <w:rFonts w:ascii="Times New Roman" w:eastAsia="仿宋_GB2312" w:hAnsi="Times New Roman" w:hint="eastAsia"/>
          <w:color w:val="000000"/>
          <w:sz w:val="32"/>
          <w:szCs w:val="32"/>
        </w:rPr>
        <w:t>体外诊断试剂注册与备案管理办法：国家市场监督管理总局令第</w:t>
      </w:r>
      <w:r>
        <w:rPr>
          <w:rFonts w:ascii="Times New Roman" w:eastAsia="仿宋_GB2312" w:hAnsi="Times New Roman" w:hint="eastAsia"/>
          <w:color w:val="000000"/>
          <w:sz w:val="32"/>
          <w:szCs w:val="32"/>
        </w:rPr>
        <w:t>48</w:t>
      </w:r>
      <w:r>
        <w:rPr>
          <w:rFonts w:ascii="Times New Roman" w:eastAsia="仿宋_GB2312" w:hAnsi="Times New Roman" w:hint="eastAsia"/>
          <w:color w:val="000000"/>
          <w:sz w:val="32"/>
          <w:szCs w:val="32"/>
        </w:rPr>
        <w:t>号</w:t>
      </w:r>
      <w:r>
        <w:rPr>
          <w:rFonts w:ascii="Times New Roman" w:eastAsia="仿宋_GB2312" w:hAnsi="Times New Roman" w:cs="Times New Roman"/>
          <w:color w:val="000000"/>
          <w:sz w:val="32"/>
          <w:szCs w:val="32"/>
        </w:rPr>
        <w:t>[Z].</w:t>
      </w:r>
    </w:p>
    <w:p w:rsidR="009A28FC" w:rsidRDefault="00401542">
      <w:pPr>
        <w:spacing w:line="520" w:lineRule="exact"/>
        <w:ind w:firstLineChars="200" w:firstLine="640"/>
        <w:rPr>
          <w:rFonts w:ascii="Times New Roman" w:eastAsia="仿宋_GB2312" w:hAnsi="Times New Roman" w:cs="宋体"/>
          <w:color w:val="000000"/>
          <w:sz w:val="32"/>
          <w:szCs w:val="32"/>
        </w:rPr>
      </w:pPr>
      <w:r>
        <w:rPr>
          <w:rFonts w:ascii="Times New Roman" w:eastAsia="仿宋_GB2312" w:hAnsi="Times New Roman" w:cs="宋体" w:hint="eastAsia"/>
          <w:color w:val="000000"/>
          <w:sz w:val="32"/>
          <w:szCs w:val="32"/>
        </w:rPr>
        <w:t>[</w:t>
      </w:r>
      <w:r>
        <w:rPr>
          <w:rFonts w:ascii="Times New Roman" w:eastAsia="仿宋_GB2312" w:hAnsi="Times New Roman" w:cs="宋体"/>
          <w:color w:val="000000"/>
          <w:sz w:val="32"/>
          <w:szCs w:val="32"/>
        </w:rPr>
        <w:t>2]</w:t>
      </w:r>
      <w:r>
        <w:rPr>
          <w:rFonts w:ascii="Times New Roman" w:eastAsia="仿宋_GB2312" w:hAnsi="Times New Roman" w:cs="宋体" w:hint="eastAsia"/>
          <w:color w:val="000000"/>
          <w:sz w:val="32"/>
          <w:szCs w:val="32"/>
        </w:rPr>
        <w:t xml:space="preserve"> </w:t>
      </w:r>
      <w:r>
        <w:rPr>
          <w:rFonts w:ascii="Times New Roman" w:eastAsia="仿宋_GB2312" w:hAnsi="Times New Roman" w:hint="eastAsia"/>
          <w:color w:val="000000"/>
          <w:sz w:val="32"/>
          <w:szCs w:val="32"/>
        </w:rPr>
        <w:t>国家药品监督管理局</w:t>
      </w:r>
      <w:r>
        <w:rPr>
          <w:rFonts w:ascii="Times New Roman" w:eastAsia="仿宋_GB2312" w:hAnsi="Times New Roman" w:hint="eastAsia"/>
          <w:color w:val="000000"/>
          <w:sz w:val="32"/>
          <w:szCs w:val="32"/>
        </w:rPr>
        <w:t>.</w:t>
      </w:r>
      <w:r>
        <w:rPr>
          <w:rFonts w:ascii="Times New Roman" w:eastAsia="仿宋_GB2312" w:hAnsi="Times New Roman" w:hint="eastAsia"/>
          <w:color w:val="000000"/>
          <w:sz w:val="32"/>
          <w:szCs w:val="32"/>
        </w:rPr>
        <w:t xml:space="preserve"> </w:t>
      </w:r>
      <w:r>
        <w:rPr>
          <w:rFonts w:ascii="Times New Roman" w:eastAsia="仿宋_GB2312" w:hAnsi="Times New Roman" w:hint="eastAsia"/>
          <w:color w:val="000000"/>
          <w:sz w:val="32"/>
          <w:szCs w:val="32"/>
        </w:rPr>
        <w:t>关于公布体外诊断试剂注册申报资料要求和批准证明文件格式的公告</w:t>
      </w:r>
      <w:r>
        <w:rPr>
          <w:rFonts w:ascii="Times New Roman" w:eastAsia="仿宋_GB2312" w:hAnsi="Times New Roman" w:hint="eastAsia"/>
          <w:color w:val="000000"/>
          <w:sz w:val="32"/>
          <w:szCs w:val="32"/>
        </w:rPr>
        <w:t>：</w:t>
      </w:r>
      <w:r>
        <w:rPr>
          <w:rFonts w:ascii="Times New Roman" w:eastAsia="仿宋_GB2312" w:hAnsi="Times New Roman" w:hint="eastAsia"/>
          <w:color w:val="000000"/>
          <w:sz w:val="32"/>
          <w:szCs w:val="32"/>
        </w:rPr>
        <w:t>国家药品监督管理局公告</w:t>
      </w:r>
      <w:r>
        <w:rPr>
          <w:rFonts w:ascii="Times New Roman" w:eastAsia="仿宋_GB2312" w:hAnsi="Times New Roman" w:hint="eastAsia"/>
          <w:color w:val="000000"/>
          <w:sz w:val="32"/>
          <w:szCs w:val="32"/>
        </w:rPr>
        <w:t>2021</w:t>
      </w:r>
      <w:r>
        <w:rPr>
          <w:rFonts w:ascii="Times New Roman" w:eastAsia="仿宋_GB2312" w:hAnsi="Times New Roman" w:hint="eastAsia"/>
          <w:color w:val="000000"/>
          <w:sz w:val="32"/>
          <w:szCs w:val="32"/>
        </w:rPr>
        <w:t>年第</w:t>
      </w:r>
      <w:r>
        <w:rPr>
          <w:rFonts w:ascii="Times New Roman" w:eastAsia="仿宋_GB2312" w:hAnsi="Times New Roman" w:hint="eastAsia"/>
          <w:color w:val="000000"/>
          <w:sz w:val="32"/>
          <w:szCs w:val="32"/>
        </w:rPr>
        <w:t>122</w:t>
      </w:r>
      <w:r>
        <w:rPr>
          <w:rFonts w:ascii="Times New Roman" w:eastAsia="仿宋_GB2312" w:hAnsi="Times New Roman" w:hint="eastAsia"/>
          <w:color w:val="000000"/>
          <w:sz w:val="32"/>
          <w:szCs w:val="32"/>
        </w:rPr>
        <w:t>号</w:t>
      </w:r>
      <w:r>
        <w:rPr>
          <w:rFonts w:ascii="Times New Roman" w:eastAsia="仿宋_GB2312" w:hAnsi="Times New Roman" w:cs="Times New Roman"/>
          <w:color w:val="000000"/>
          <w:sz w:val="32"/>
          <w:szCs w:val="32"/>
        </w:rPr>
        <w:t>[Z].</w:t>
      </w:r>
    </w:p>
    <w:p w:rsidR="009A28FC" w:rsidRDefault="00401542">
      <w:pPr>
        <w:spacing w:line="520" w:lineRule="exact"/>
        <w:ind w:firstLineChars="200" w:firstLine="600"/>
        <w:rPr>
          <w:rFonts w:ascii="Times New Roman" w:eastAsia="仿宋_GB2312" w:hAnsi="Times New Roman" w:cs="宋体"/>
          <w:color w:val="000000"/>
          <w:sz w:val="32"/>
          <w:szCs w:val="32"/>
        </w:rPr>
      </w:pPr>
      <w:r>
        <w:rPr>
          <w:rFonts w:ascii="Times New Roman" w:eastAsia="仿宋_GB2312" w:hAnsi="Times New Roman" w:cs="宋体"/>
          <w:color w:val="000000"/>
          <w:sz w:val="30"/>
          <w:szCs w:val="32"/>
        </w:rPr>
        <w:t>[</w:t>
      </w:r>
      <w:r>
        <w:rPr>
          <w:rFonts w:ascii="Times New Roman" w:eastAsia="仿宋_GB2312" w:hAnsi="Times New Roman" w:cs="宋体"/>
          <w:color w:val="000000"/>
          <w:sz w:val="32"/>
          <w:szCs w:val="32"/>
        </w:rPr>
        <w:t>3]</w:t>
      </w:r>
      <w:r>
        <w:rPr>
          <w:rFonts w:ascii="Times New Roman" w:eastAsia="仿宋_GB2312" w:hAnsi="Times New Roman" w:cs="宋体" w:hint="eastAsia"/>
          <w:color w:val="000000"/>
          <w:sz w:val="32"/>
          <w:szCs w:val="32"/>
        </w:rPr>
        <w:t xml:space="preserve"> </w:t>
      </w:r>
      <w:r>
        <w:rPr>
          <w:rFonts w:ascii="Times New Roman" w:eastAsia="仿宋_GB2312" w:hAnsi="Times New Roman" w:cs="宋体" w:hint="eastAsia"/>
          <w:color w:val="000000"/>
          <w:sz w:val="32"/>
          <w:szCs w:val="32"/>
        </w:rPr>
        <w:t>国家药品监督管理局</w:t>
      </w:r>
      <w:r>
        <w:rPr>
          <w:rFonts w:ascii="Times New Roman" w:eastAsia="仿宋_GB2312" w:hAnsi="Times New Roman" w:cs="宋体" w:hint="eastAsia"/>
          <w:color w:val="000000"/>
          <w:sz w:val="32"/>
          <w:szCs w:val="32"/>
        </w:rPr>
        <w:t xml:space="preserve">. </w:t>
      </w:r>
      <w:r>
        <w:rPr>
          <w:rFonts w:ascii="Times New Roman" w:eastAsia="仿宋_GB2312" w:hAnsi="Times New Roman" w:hint="eastAsia"/>
          <w:color w:val="000000"/>
          <w:sz w:val="32"/>
          <w:szCs w:val="32"/>
        </w:rPr>
        <w:t>体外诊断试剂临床试验技术指导</w:t>
      </w:r>
      <w:r>
        <w:rPr>
          <w:rFonts w:ascii="Times New Roman" w:eastAsia="仿宋_GB2312" w:hAnsi="Times New Roman" w:hint="eastAsia"/>
          <w:color w:val="000000"/>
          <w:sz w:val="32"/>
          <w:szCs w:val="32"/>
        </w:rPr>
        <w:lastRenderedPageBreak/>
        <w:t>原则：</w:t>
      </w:r>
      <w:r>
        <w:rPr>
          <w:rFonts w:ascii="Times New Roman" w:eastAsia="仿宋_GB2312" w:hAnsi="Times New Roman" w:cs="宋体" w:hint="eastAsia"/>
          <w:color w:val="000000"/>
          <w:sz w:val="32"/>
          <w:szCs w:val="32"/>
        </w:rPr>
        <w:t>国家药品监督管理局</w:t>
      </w:r>
      <w:r>
        <w:rPr>
          <w:rFonts w:ascii="Times New Roman" w:eastAsia="仿宋_GB2312" w:hAnsi="Times New Roman" w:cs="宋体"/>
          <w:color w:val="000000"/>
          <w:sz w:val="32"/>
          <w:szCs w:val="32"/>
        </w:rPr>
        <w:t>2021</w:t>
      </w:r>
      <w:r>
        <w:rPr>
          <w:rFonts w:ascii="Times New Roman" w:eastAsia="仿宋_GB2312" w:hAnsi="Times New Roman" w:cs="宋体" w:hint="eastAsia"/>
          <w:color w:val="000000"/>
          <w:sz w:val="32"/>
          <w:szCs w:val="32"/>
        </w:rPr>
        <w:t>年第</w:t>
      </w:r>
      <w:r>
        <w:rPr>
          <w:rFonts w:ascii="Times New Roman" w:eastAsia="仿宋_GB2312" w:hAnsi="Times New Roman" w:cs="宋体"/>
          <w:color w:val="000000"/>
          <w:sz w:val="32"/>
          <w:szCs w:val="32"/>
        </w:rPr>
        <w:t>72</w:t>
      </w:r>
      <w:r>
        <w:rPr>
          <w:rFonts w:ascii="Times New Roman" w:eastAsia="仿宋_GB2312" w:hAnsi="Times New Roman" w:cs="宋体" w:hint="eastAsia"/>
          <w:color w:val="000000"/>
          <w:sz w:val="32"/>
          <w:szCs w:val="32"/>
        </w:rPr>
        <w:t>号</w:t>
      </w:r>
      <w:r>
        <w:rPr>
          <w:rFonts w:ascii="Times New Roman" w:eastAsia="仿宋_GB2312" w:hAnsi="Times New Roman" w:cs="Times New Roman"/>
          <w:color w:val="000000"/>
          <w:sz w:val="32"/>
          <w:szCs w:val="32"/>
        </w:rPr>
        <w:t>[Z].</w:t>
      </w:r>
    </w:p>
    <w:p w:rsidR="009A28FC" w:rsidRDefault="00401542">
      <w:pPr>
        <w:spacing w:line="520" w:lineRule="exact"/>
        <w:ind w:firstLineChars="200" w:firstLine="640"/>
        <w:rPr>
          <w:rFonts w:ascii="Times New Roman" w:eastAsia="仿宋_GB2312" w:hAnsi="Times New Roman" w:cs="宋体"/>
          <w:color w:val="000000"/>
          <w:sz w:val="32"/>
          <w:szCs w:val="32"/>
        </w:rPr>
      </w:pPr>
      <w:r>
        <w:rPr>
          <w:rFonts w:ascii="Times New Roman" w:eastAsia="仿宋_GB2312" w:hAnsi="Times New Roman" w:cs="宋体" w:hint="eastAsia"/>
          <w:color w:val="000000"/>
          <w:sz w:val="32"/>
          <w:szCs w:val="32"/>
        </w:rPr>
        <w:t>[</w:t>
      </w:r>
      <w:r>
        <w:rPr>
          <w:rFonts w:ascii="Times New Roman" w:eastAsia="仿宋_GB2312" w:hAnsi="Times New Roman" w:cs="宋体"/>
          <w:color w:val="000000"/>
          <w:sz w:val="32"/>
          <w:szCs w:val="32"/>
        </w:rPr>
        <w:t>4]</w:t>
      </w:r>
      <w:r>
        <w:rPr>
          <w:rFonts w:ascii="Times New Roman" w:eastAsia="仿宋_GB2312" w:hAnsi="Times New Roman" w:cs="宋体" w:hint="eastAsia"/>
          <w:color w:val="000000"/>
          <w:sz w:val="32"/>
          <w:szCs w:val="32"/>
        </w:rPr>
        <w:t xml:space="preserve"> </w:t>
      </w:r>
      <w:r>
        <w:rPr>
          <w:rFonts w:ascii="Times New Roman" w:eastAsia="仿宋_GB2312" w:hAnsi="Times New Roman" w:hint="eastAsia"/>
          <w:color w:val="000000"/>
          <w:sz w:val="32"/>
          <w:szCs w:val="32"/>
        </w:rPr>
        <w:t>国家药监局医疗器械技术审评中心</w:t>
      </w:r>
      <w:r>
        <w:rPr>
          <w:rFonts w:ascii="Times New Roman" w:eastAsia="仿宋_GB2312" w:hAnsi="Times New Roman" w:hint="eastAsia"/>
          <w:color w:val="000000"/>
          <w:sz w:val="32"/>
          <w:szCs w:val="32"/>
        </w:rPr>
        <w:t>.</w:t>
      </w:r>
      <w:r>
        <w:rPr>
          <w:rFonts w:ascii="Times New Roman" w:eastAsia="仿宋_GB2312" w:hAnsi="Times New Roman" w:hint="eastAsia"/>
          <w:color w:val="000000"/>
          <w:sz w:val="32"/>
          <w:szCs w:val="32"/>
        </w:rPr>
        <w:t xml:space="preserve"> </w:t>
      </w:r>
      <w:r>
        <w:rPr>
          <w:rFonts w:ascii="Times New Roman" w:eastAsia="仿宋_GB2312" w:hAnsi="Times New Roman" w:hint="eastAsia"/>
          <w:color w:val="000000"/>
          <w:sz w:val="32"/>
          <w:szCs w:val="32"/>
        </w:rPr>
        <w:t>定性检测体外诊断试剂分析性能评估注册审查指导原则</w:t>
      </w:r>
      <w:r>
        <w:rPr>
          <w:rFonts w:ascii="Times New Roman" w:eastAsia="仿宋_GB2312" w:hAnsi="Times New Roman" w:hint="eastAsia"/>
          <w:color w:val="000000"/>
          <w:sz w:val="32"/>
          <w:szCs w:val="32"/>
        </w:rPr>
        <w:t>：</w:t>
      </w:r>
      <w:r>
        <w:rPr>
          <w:rFonts w:ascii="Times New Roman" w:eastAsia="仿宋_GB2312" w:hAnsi="Times New Roman" w:hint="eastAsia"/>
          <w:color w:val="000000"/>
          <w:sz w:val="32"/>
          <w:szCs w:val="32"/>
        </w:rPr>
        <w:t>国家药监局医疗器械技术审评中心</w:t>
      </w:r>
      <w:r>
        <w:rPr>
          <w:rFonts w:ascii="Times New Roman" w:eastAsia="仿宋_GB2312" w:hAnsi="Times New Roman" w:hint="eastAsia"/>
          <w:color w:val="000000"/>
          <w:sz w:val="32"/>
          <w:szCs w:val="32"/>
        </w:rPr>
        <w:t>2022</w:t>
      </w:r>
      <w:r>
        <w:rPr>
          <w:rFonts w:ascii="Times New Roman" w:eastAsia="仿宋_GB2312" w:hAnsi="Times New Roman" w:hint="eastAsia"/>
          <w:color w:val="000000"/>
          <w:sz w:val="32"/>
          <w:szCs w:val="32"/>
        </w:rPr>
        <w:t>年第</w:t>
      </w:r>
      <w:r>
        <w:rPr>
          <w:rFonts w:ascii="Times New Roman" w:eastAsia="仿宋_GB2312" w:hAnsi="Times New Roman" w:hint="eastAsia"/>
          <w:color w:val="000000"/>
          <w:sz w:val="32"/>
          <w:szCs w:val="32"/>
        </w:rPr>
        <w:t>36</w:t>
      </w:r>
      <w:r>
        <w:rPr>
          <w:rFonts w:ascii="Times New Roman" w:eastAsia="仿宋_GB2312" w:hAnsi="Times New Roman" w:hint="eastAsia"/>
          <w:color w:val="000000"/>
          <w:sz w:val="32"/>
          <w:szCs w:val="32"/>
        </w:rPr>
        <w:t>号</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Z].</w:t>
      </w:r>
    </w:p>
    <w:p w:rsidR="009A28FC" w:rsidRDefault="00401542">
      <w:pPr>
        <w:spacing w:line="520" w:lineRule="exact"/>
        <w:ind w:firstLineChars="200" w:firstLine="640"/>
        <w:rPr>
          <w:rFonts w:ascii="Times New Roman" w:eastAsia="仿宋_GB2312" w:hAnsi="Times New Roman" w:cs="宋体"/>
          <w:color w:val="000000"/>
          <w:sz w:val="32"/>
          <w:szCs w:val="32"/>
        </w:rPr>
      </w:pPr>
      <w:r>
        <w:rPr>
          <w:rFonts w:ascii="Times New Roman" w:eastAsia="仿宋_GB2312" w:hAnsi="Times New Roman" w:cs="宋体" w:hint="eastAsia"/>
          <w:color w:val="000000"/>
          <w:sz w:val="32"/>
          <w:szCs w:val="32"/>
        </w:rPr>
        <w:t xml:space="preserve">[5] </w:t>
      </w:r>
      <w:r>
        <w:rPr>
          <w:rFonts w:ascii="Times New Roman" w:eastAsia="仿宋_GB2312" w:hAnsi="Times New Roman" w:cs="宋体" w:hint="eastAsia"/>
          <w:color w:val="000000"/>
          <w:sz w:val="32"/>
          <w:szCs w:val="32"/>
        </w:rPr>
        <w:t>《乳腺癌</w:t>
      </w:r>
      <w:r>
        <w:rPr>
          <w:rFonts w:ascii="Times New Roman" w:eastAsia="仿宋_GB2312" w:hAnsi="Times New Roman" w:cs="宋体" w:hint="eastAsia"/>
          <w:color w:val="000000"/>
          <w:sz w:val="32"/>
          <w:szCs w:val="32"/>
        </w:rPr>
        <w:t>HER2</w:t>
      </w:r>
      <w:r>
        <w:rPr>
          <w:rFonts w:ascii="Times New Roman" w:eastAsia="仿宋_GB2312" w:hAnsi="Times New Roman" w:cs="宋体" w:hint="eastAsia"/>
          <w:color w:val="000000"/>
          <w:sz w:val="32"/>
          <w:szCs w:val="32"/>
        </w:rPr>
        <w:t>检测指南（</w:t>
      </w:r>
      <w:r>
        <w:rPr>
          <w:rFonts w:ascii="Times New Roman" w:eastAsia="仿宋_GB2312" w:hAnsi="Times New Roman" w:cs="宋体" w:hint="eastAsia"/>
          <w:color w:val="000000"/>
          <w:sz w:val="32"/>
          <w:szCs w:val="32"/>
        </w:rPr>
        <w:t>2024</w:t>
      </w:r>
      <w:r>
        <w:rPr>
          <w:rFonts w:ascii="Times New Roman" w:eastAsia="仿宋_GB2312" w:hAnsi="Times New Roman" w:cs="宋体" w:hint="eastAsia"/>
          <w:color w:val="000000"/>
          <w:sz w:val="32"/>
          <w:szCs w:val="32"/>
        </w:rPr>
        <w:t>版）》编写组</w:t>
      </w:r>
      <w:r>
        <w:rPr>
          <w:rFonts w:ascii="Times New Roman" w:eastAsia="仿宋_GB2312" w:hAnsi="Times New Roman" w:cs="宋体" w:hint="eastAsia"/>
          <w:color w:val="000000"/>
          <w:sz w:val="32"/>
          <w:szCs w:val="32"/>
        </w:rPr>
        <w:t xml:space="preserve">. </w:t>
      </w:r>
      <w:r>
        <w:rPr>
          <w:rFonts w:ascii="Times New Roman" w:eastAsia="仿宋_GB2312" w:hAnsi="Times New Roman" w:cs="宋体" w:hint="eastAsia"/>
          <w:color w:val="000000"/>
          <w:sz w:val="32"/>
          <w:szCs w:val="32"/>
        </w:rPr>
        <w:t>乳腺癌</w:t>
      </w:r>
      <w:r>
        <w:rPr>
          <w:rFonts w:ascii="Times New Roman" w:eastAsia="仿宋_GB2312" w:hAnsi="Times New Roman" w:cs="宋体" w:hint="eastAsia"/>
          <w:color w:val="000000"/>
          <w:sz w:val="32"/>
          <w:szCs w:val="32"/>
        </w:rPr>
        <w:t>HER2</w:t>
      </w:r>
      <w:r>
        <w:rPr>
          <w:rFonts w:ascii="Times New Roman" w:eastAsia="仿宋_GB2312" w:hAnsi="Times New Roman" w:cs="宋体" w:hint="eastAsia"/>
          <w:color w:val="000000"/>
          <w:sz w:val="32"/>
          <w:szCs w:val="32"/>
        </w:rPr>
        <w:t>检测指南（</w:t>
      </w:r>
      <w:r>
        <w:rPr>
          <w:rFonts w:ascii="Times New Roman" w:eastAsia="仿宋_GB2312" w:hAnsi="Times New Roman" w:cs="宋体" w:hint="eastAsia"/>
          <w:color w:val="000000"/>
          <w:sz w:val="32"/>
          <w:szCs w:val="32"/>
        </w:rPr>
        <w:t>2024</w:t>
      </w:r>
      <w:r>
        <w:rPr>
          <w:rFonts w:ascii="Times New Roman" w:eastAsia="仿宋_GB2312" w:hAnsi="Times New Roman" w:cs="宋体" w:hint="eastAsia"/>
          <w:color w:val="000000"/>
          <w:sz w:val="32"/>
          <w:szCs w:val="32"/>
        </w:rPr>
        <w:t>版）</w:t>
      </w:r>
      <w:r>
        <w:rPr>
          <w:rFonts w:ascii="Times New Roman" w:eastAsia="仿宋_GB2312" w:hAnsi="Times New Roman" w:cs="宋体" w:hint="eastAsia"/>
          <w:color w:val="000000"/>
          <w:sz w:val="32"/>
          <w:szCs w:val="32"/>
        </w:rPr>
        <w:t xml:space="preserve">[J]. </w:t>
      </w:r>
      <w:r>
        <w:rPr>
          <w:rFonts w:ascii="Times New Roman" w:eastAsia="仿宋_GB2312" w:hAnsi="Times New Roman" w:cs="宋体" w:hint="eastAsia"/>
          <w:color w:val="000000"/>
          <w:sz w:val="32"/>
          <w:szCs w:val="32"/>
        </w:rPr>
        <w:t>中华病理学杂志</w:t>
      </w:r>
      <w:r>
        <w:rPr>
          <w:rFonts w:ascii="Times New Roman" w:eastAsia="仿宋_GB2312" w:hAnsi="Times New Roman" w:cs="宋体" w:hint="eastAsia"/>
          <w:color w:val="000000"/>
          <w:sz w:val="32"/>
          <w:szCs w:val="32"/>
        </w:rPr>
        <w:t>, 2024, 53(12): 1192-1202.</w:t>
      </w:r>
    </w:p>
    <w:p w:rsidR="009A28FC" w:rsidRDefault="00401542">
      <w:pPr>
        <w:spacing w:line="520" w:lineRule="exact"/>
        <w:ind w:firstLineChars="200" w:firstLine="640"/>
        <w:rPr>
          <w:rFonts w:ascii="Times New Roman" w:eastAsia="仿宋_GB2312" w:hAnsi="Times New Roman" w:cs="宋体"/>
          <w:color w:val="000000"/>
          <w:sz w:val="32"/>
          <w:szCs w:val="32"/>
        </w:rPr>
      </w:pPr>
      <w:r>
        <w:rPr>
          <w:rFonts w:ascii="Times New Roman" w:eastAsia="仿宋_GB2312" w:hAnsi="Times New Roman" w:cs="宋体" w:hint="eastAsia"/>
          <w:color w:val="000000"/>
          <w:sz w:val="32"/>
          <w:szCs w:val="32"/>
        </w:rPr>
        <w:t xml:space="preserve">[6] </w:t>
      </w:r>
      <w:r>
        <w:rPr>
          <w:rFonts w:ascii="Times New Roman" w:eastAsia="仿宋_GB2312" w:hAnsi="Times New Roman" w:cs="宋体" w:hint="eastAsia"/>
          <w:color w:val="000000"/>
          <w:sz w:val="32"/>
          <w:szCs w:val="32"/>
        </w:rPr>
        <w:t>中国抗癌协会胃癌专业委员会</w:t>
      </w:r>
      <w:r>
        <w:rPr>
          <w:rFonts w:ascii="Times New Roman" w:eastAsia="仿宋_GB2312" w:hAnsi="Times New Roman" w:cs="宋体" w:hint="eastAsia"/>
          <w:color w:val="000000"/>
          <w:sz w:val="32"/>
          <w:szCs w:val="32"/>
        </w:rPr>
        <w:t xml:space="preserve">, </w:t>
      </w:r>
      <w:r>
        <w:rPr>
          <w:rFonts w:ascii="Times New Roman" w:eastAsia="仿宋_GB2312" w:hAnsi="Times New Roman" w:cs="宋体" w:hint="eastAsia"/>
          <w:color w:val="000000"/>
          <w:sz w:val="32"/>
          <w:szCs w:val="32"/>
        </w:rPr>
        <w:t>中国抗癌协会肿瘤内镜学专业委员会</w:t>
      </w:r>
      <w:r>
        <w:rPr>
          <w:rFonts w:ascii="Times New Roman" w:eastAsia="仿宋_GB2312" w:hAnsi="Times New Roman" w:cs="宋体" w:hint="eastAsia"/>
          <w:color w:val="000000"/>
          <w:sz w:val="32"/>
          <w:szCs w:val="32"/>
        </w:rPr>
        <w:t xml:space="preserve">. </w:t>
      </w:r>
      <w:r>
        <w:rPr>
          <w:rFonts w:ascii="Times New Roman" w:eastAsia="仿宋_GB2312" w:hAnsi="Times New Roman" w:cs="宋体" w:hint="eastAsia"/>
          <w:color w:val="000000"/>
          <w:sz w:val="32"/>
          <w:szCs w:val="32"/>
        </w:rPr>
        <w:t>胃癌胃镜活检标本</w:t>
      </w:r>
      <w:r>
        <w:rPr>
          <w:rFonts w:ascii="Times New Roman" w:eastAsia="仿宋_GB2312" w:hAnsi="Times New Roman" w:cs="宋体" w:hint="eastAsia"/>
          <w:color w:val="000000"/>
          <w:sz w:val="32"/>
          <w:szCs w:val="32"/>
        </w:rPr>
        <w:t>HER-2</w:t>
      </w:r>
      <w:r>
        <w:rPr>
          <w:rFonts w:ascii="Times New Roman" w:eastAsia="仿宋_GB2312" w:hAnsi="Times New Roman" w:cs="宋体" w:hint="eastAsia"/>
          <w:color w:val="000000"/>
          <w:sz w:val="32"/>
          <w:szCs w:val="32"/>
        </w:rPr>
        <w:t>检测中国专家共识（</w:t>
      </w:r>
      <w:r>
        <w:rPr>
          <w:rFonts w:ascii="Times New Roman" w:eastAsia="仿宋_GB2312" w:hAnsi="Times New Roman" w:cs="宋体" w:hint="eastAsia"/>
          <w:color w:val="000000"/>
          <w:sz w:val="32"/>
          <w:szCs w:val="32"/>
        </w:rPr>
        <w:t>2023</w:t>
      </w:r>
      <w:r>
        <w:rPr>
          <w:rFonts w:ascii="Times New Roman" w:eastAsia="仿宋_GB2312" w:hAnsi="Times New Roman" w:cs="宋体" w:hint="eastAsia"/>
          <w:color w:val="000000"/>
          <w:sz w:val="32"/>
          <w:szCs w:val="32"/>
        </w:rPr>
        <w:t>版）</w:t>
      </w:r>
      <w:r>
        <w:rPr>
          <w:rFonts w:ascii="Times New Roman" w:eastAsia="仿宋_GB2312" w:hAnsi="Times New Roman" w:cs="宋体" w:hint="eastAsia"/>
          <w:color w:val="000000"/>
          <w:sz w:val="32"/>
          <w:szCs w:val="32"/>
        </w:rPr>
        <w:t xml:space="preserve">[J]. </w:t>
      </w:r>
      <w:r>
        <w:rPr>
          <w:rFonts w:ascii="Times New Roman" w:eastAsia="仿宋_GB2312" w:hAnsi="Times New Roman" w:cs="宋体" w:hint="eastAsia"/>
          <w:color w:val="000000"/>
          <w:sz w:val="32"/>
          <w:szCs w:val="32"/>
        </w:rPr>
        <w:t>中国肿瘤临床</w:t>
      </w:r>
      <w:r>
        <w:rPr>
          <w:rFonts w:ascii="Times New Roman" w:eastAsia="仿宋_GB2312" w:hAnsi="Times New Roman" w:cs="宋体" w:hint="eastAsia"/>
          <w:color w:val="000000"/>
          <w:sz w:val="32"/>
          <w:szCs w:val="32"/>
        </w:rPr>
        <w:t>, 2023, 50(19): 973-982.</w:t>
      </w:r>
    </w:p>
    <w:p w:rsidR="009A28FC" w:rsidRDefault="00401542">
      <w:pPr>
        <w:spacing w:line="520" w:lineRule="exact"/>
        <w:ind w:firstLineChars="200" w:firstLine="640"/>
        <w:rPr>
          <w:rFonts w:ascii="Times New Roman" w:eastAsia="仿宋_GB2312" w:hAnsi="Times New Roman" w:cs="宋体"/>
          <w:color w:val="000000"/>
          <w:sz w:val="32"/>
          <w:szCs w:val="32"/>
        </w:rPr>
      </w:pPr>
      <w:r>
        <w:rPr>
          <w:rFonts w:ascii="Times New Roman" w:eastAsia="仿宋_GB2312" w:hAnsi="Times New Roman" w:cs="宋体" w:hint="eastAsia"/>
          <w:color w:val="000000"/>
          <w:sz w:val="32"/>
          <w:szCs w:val="32"/>
        </w:rPr>
        <w:t xml:space="preserve">[7] </w:t>
      </w:r>
      <w:r>
        <w:rPr>
          <w:rFonts w:ascii="Times New Roman" w:eastAsia="仿宋_GB2312" w:hAnsi="Times New Roman" w:cs="宋体" w:hint="eastAsia"/>
          <w:color w:val="000000"/>
          <w:sz w:val="32"/>
          <w:szCs w:val="32"/>
        </w:rPr>
        <w:t>中国抗癌协会肿瘤病理专业委员会</w:t>
      </w:r>
      <w:r>
        <w:rPr>
          <w:rFonts w:ascii="Times New Roman" w:eastAsia="仿宋_GB2312" w:hAnsi="Times New Roman" w:cs="宋体" w:hint="eastAsia"/>
          <w:color w:val="000000"/>
          <w:sz w:val="32"/>
          <w:szCs w:val="32"/>
        </w:rPr>
        <w:t xml:space="preserve">, </w:t>
      </w:r>
      <w:r>
        <w:rPr>
          <w:rFonts w:ascii="Times New Roman" w:eastAsia="仿宋_GB2312" w:hAnsi="Times New Roman" w:cs="宋体" w:hint="eastAsia"/>
          <w:color w:val="000000"/>
          <w:sz w:val="32"/>
          <w:szCs w:val="32"/>
        </w:rPr>
        <w:t>中国临床肿瘤协会尿路上皮</w:t>
      </w:r>
      <w:proofErr w:type="gramStart"/>
      <w:r>
        <w:rPr>
          <w:rFonts w:ascii="Times New Roman" w:eastAsia="仿宋_GB2312" w:hAnsi="Times New Roman" w:cs="宋体" w:hint="eastAsia"/>
          <w:color w:val="000000"/>
          <w:sz w:val="32"/>
          <w:szCs w:val="32"/>
        </w:rPr>
        <w:t>癌专业</w:t>
      </w:r>
      <w:proofErr w:type="gramEnd"/>
      <w:r>
        <w:rPr>
          <w:rFonts w:ascii="Times New Roman" w:eastAsia="仿宋_GB2312" w:hAnsi="Times New Roman" w:cs="宋体" w:hint="eastAsia"/>
          <w:color w:val="000000"/>
          <w:sz w:val="32"/>
          <w:szCs w:val="32"/>
        </w:rPr>
        <w:t>委员会</w:t>
      </w:r>
      <w:r>
        <w:rPr>
          <w:rFonts w:ascii="Times New Roman" w:eastAsia="仿宋_GB2312" w:hAnsi="Times New Roman" w:cs="宋体" w:hint="eastAsia"/>
          <w:color w:val="000000"/>
          <w:sz w:val="32"/>
          <w:szCs w:val="32"/>
        </w:rPr>
        <w:t>.</w:t>
      </w:r>
      <w:r>
        <w:rPr>
          <w:rFonts w:ascii="Times New Roman" w:eastAsia="仿宋_GB2312" w:hAnsi="Times New Roman" w:cs="宋体" w:hint="eastAsia"/>
          <w:color w:val="000000"/>
          <w:sz w:val="32"/>
          <w:szCs w:val="32"/>
        </w:rPr>
        <w:t xml:space="preserve"> </w:t>
      </w:r>
      <w:r>
        <w:rPr>
          <w:rFonts w:ascii="Times New Roman" w:eastAsia="仿宋_GB2312" w:hAnsi="Times New Roman" w:cs="宋体" w:hint="eastAsia"/>
          <w:color w:val="000000"/>
          <w:sz w:val="32"/>
          <w:szCs w:val="32"/>
        </w:rPr>
        <w:t>中国</w:t>
      </w:r>
      <w:proofErr w:type="gramStart"/>
      <w:r>
        <w:rPr>
          <w:rFonts w:ascii="Times New Roman" w:eastAsia="仿宋_GB2312" w:hAnsi="Times New Roman" w:cs="宋体" w:hint="eastAsia"/>
          <w:color w:val="000000"/>
          <w:sz w:val="32"/>
          <w:szCs w:val="32"/>
        </w:rPr>
        <w:t>尿路上皮癌人表皮生长因子</w:t>
      </w:r>
      <w:proofErr w:type="gramEnd"/>
      <w:r>
        <w:rPr>
          <w:rFonts w:ascii="Times New Roman" w:eastAsia="仿宋_GB2312" w:hAnsi="Times New Roman" w:cs="宋体" w:hint="eastAsia"/>
          <w:color w:val="000000"/>
          <w:sz w:val="32"/>
          <w:szCs w:val="32"/>
        </w:rPr>
        <w:t>受体</w:t>
      </w:r>
      <w:r>
        <w:rPr>
          <w:rFonts w:ascii="Times New Roman" w:eastAsia="仿宋_GB2312" w:hAnsi="Times New Roman" w:cs="宋体" w:hint="eastAsia"/>
          <w:color w:val="000000"/>
          <w:sz w:val="32"/>
          <w:szCs w:val="32"/>
        </w:rPr>
        <w:t>2</w:t>
      </w:r>
      <w:r>
        <w:rPr>
          <w:rFonts w:ascii="Times New Roman" w:eastAsia="仿宋_GB2312" w:hAnsi="Times New Roman" w:cs="宋体" w:hint="eastAsia"/>
          <w:color w:val="000000"/>
          <w:sz w:val="32"/>
          <w:szCs w:val="32"/>
        </w:rPr>
        <w:t>检测临床病理专家共识</w:t>
      </w:r>
      <w:r>
        <w:rPr>
          <w:rFonts w:ascii="Times New Roman" w:eastAsia="仿宋_GB2312" w:hAnsi="Times New Roman" w:cs="宋体" w:hint="eastAsia"/>
          <w:color w:val="000000"/>
          <w:sz w:val="32"/>
          <w:szCs w:val="32"/>
        </w:rPr>
        <w:t xml:space="preserve">[J]. </w:t>
      </w:r>
      <w:r>
        <w:rPr>
          <w:rFonts w:ascii="Times New Roman" w:eastAsia="仿宋_GB2312" w:hAnsi="Times New Roman" w:cs="宋体" w:hint="eastAsia"/>
          <w:color w:val="000000"/>
          <w:sz w:val="32"/>
          <w:szCs w:val="32"/>
        </w:rPr>
        <w:t>中华肿瘤杂志</w:t>
      </w:r>
      <w:r>
        <w:rPr>
          <w:rFonts w:ascii="Times New Roman" w:eastAsia="仿宋_GB2312" w:hAnsi="Times New Roman" w:cs="宋体" w:hint="eastAsia"/>
          <w:color w:val="000000"/>
          <w:sz w:val="32"/>
          <w:szCs w:val="32"/>
        </w:rPr>
        <w:t>, 2021, 43(10): 1001-1006.</w:t>
      </w:r>
    </w:p>
    <w:p w:rsidR="009A28FC" w:rsidRDefault="00401542">
      <w:pPr>
        <w:spacing w:line="520" w:lineRule="exact"/>
        <w:ind w:firstLineChars="200" w:firstLine="640"/>
        <w:rPr>
          <w:rFonts w:ascii="Times New Roman" w:eastAsia="仿宋_GB2312" w:hAnsi="Times New Roman" w:cs="宋体"/>
          <w:color w:val="000000"/>
          <w:sz w:val="32"/>
          <w:szCs w:val="32"/>
        </w:rPr>
      </w:pPr>
      <w:r>
        <w:rPr>
          <w:rFonts w:ascii="Times New Roman" w:eastAsia="仿宋_GB2312" w:hAnsi="Times New Roman" w:cs="宋体" w:hint="eastAsia"/>
          <w:color w:val="000000"/>
          <w:sz w:val="32"/>
          <w:szCs w:val="32"/>
        </w:rPr>
        <w:t xml:space="preserve">[8] </w:t>
      </w:r>
      <w:r>
        <w:rPr>
          <w:rFonts w:ascii="Times New Roman" w:eastAsia="仿宋_GB2312" w:hAnsi="Times New Roman" w:cs="宋体" w:hint="eastAsia"/>
          <w:color w:val="000000"/>
          <w:sz w:val="32"/>
          <w:szCs w:val="32"/>
        </w:rPr>
        <w:t>中国抗癌协会胆道肿瘤专业委员会</w:t>
      </w:r>
      <w:r>
        <w:rPr>
          <w:rFonts w:ascii="Times New Roman" w:eastAsia="仿宋_GB2312" w:hAnsi="Times New Roman" w:cs="宋体" w:hint="eastAsia"/>
          <w:color w:val="000000"/>
          <w:sz w:val="32"/>
          <w:szCs w:val="32"/>
        </w:rPr>
        <w:t xml:space="preserve">, </w:t>
      </w:r>
      <w:r>
        <w:rPr>
          <w:rFonts w:ascii="Times New Roman" w:eastAsia="仿宋_GB2312" w:hAnsi="Times New Roman" w:cs="宋体" w:hint="eastAsia"/>
          <w:color w:val="000000"/>
          <w:sz w:val="32"/>
          <w:szCs w:val="32"/>
        </w:rPr>
        <w:t>中国临床肿瘤学会胆道肿瘤专家委员会</w:t>
      </w:r>
      <w:r>
        <w:rPr>
          <w:rFonts w:ascii="Times New Roman" w:eastAsia="仿宋_GB2312" w:hAnsi="Times New Roman" w:cs="宋体" w:hint="eastAsia"/>
          <w:color w:val="000000"/>
          <w:sz w:val="32"/>
          <w:szCs w:val="32"/>
        </w:rPr>
        <w:t xml:space="preserve">. </w:t>
      </w:r>
      <w:r>
        <w:rPr>
          <w:rFonts w:ascii="Times New Roman" w:eastAsia="仿宋_GB2312" w:hAnsi="Times New Roman" w:cs="宋体" w:hint="eastAsia"/>
          <w:color w:val="000000"/>
          <w:sz w:val="32"/>
          <w:szCs w:val="32"/>
        </w:rPr>
        <w:t>胆道恶性肿瘤</w:t>
      </w:r>
      <w:r>
        <w:rPr>
          <w:rFonts w:ascii="Times New Roman" w:eastAsia="仿宋_GB2312" w:hAnsi="Times New Roman" w:cs="宋体" w:hint="eastAsia"/>
          <w:color w:val="000000"/>
          <w:sz w:val="32"/>
          <w:szCs w:val="32"/>
        </w:rPr>
        <w:t>HER2</w:t>
      </w:r>
      <w:r>
        <w:rPr>
          <w:rFonts w:ascii="Times New Roman" w:eastAsia="仿宋_GB2312" w:hAnsi="Times New Roman" w:cs="宋体" w:hint="eastAsia"/>
          <w:color w:val="000000"/>
          <w:sz w:val="32"/>
          <w:szCs w:val="32"/>
        </w:rPr>
        <w:t>分子诊断与临床应用中国专家共识（</w:t>
      </w:r>
      <w:r>
        <w:rPr>
          <w:rFonts w:ascii="Times New Roman" w:eastAsia="仿宋_GB2312" w:hAnsi="Times New Roman" w:cs="宋体" w:hint="eastAsia"/>
          <w:color w:val="000000"/>
          <w:sz w:val="32"/>
          <w:szCs w:val="32"/>
        </w:rPr>
        <w:t>2024</w:t>
      </w:r>
      <w:r>
        <w:rPr>
          <w:rFonts w:ascii="Times New Roman" w:eastAsia="仿宋_GB2312" w:hAnsi="Times New Roman" w:cs="宋体" w:hint="eastAsia"/>
          <w:color w:val="000000"/>
          <w:sz w:val="32"/>
          <w:szCs w:val="32"/>
        </w:rPr>
        <w:t>版）</w:t>
      </w:r>
      <w:r>
        <w:rPr>
          <w:rFonts w:ascii="Times New Roman" w:eastAsia="仿宋_GB2312" w:hAnsi="Times New Roman" w:cs="宋体" w:hint="eastAsia"/>
          <w:color w:val="000000"/>
          <w:sz w:val="32"/>
          <w:szCs w:val="32"/>
        </w:rPr>
        <w:t xml:space="preserve">[J]. </w:t>
      </w:r>
      <w:r>
        <w:rPr>
          <w:rFonts w:ascii="Times New Roman" w:eastAsia="仿宋_GB2312" w:hAnsi="Times New Roman" w:cs="宋体" w:hint="eastAsia"/>
          <w:color w:val="000000"/>
          <w:sz w:val="32"/>
          <w:szCs w:val="32"/>
        </w:rPr>
        <w:t>中华实用外科杂志</w:t>
      </w:r>
      <w:r>
        <w:rPr>
          <w:rFonts w:ascii="Times New Roman" w:eastAsia="仿宋_GB2312" w:hAnsi="Times New Roman" w:cs="宋体" w:hint="eastAsia"/>
          <w:color w:val="000000"/>
          <w:sz w:val="32"/>
          <w:szCs w:val="32"/>
        </w:rPr>
        <w:t>, 2024, 44(12): 1321-1327.</w:t>
      </w:r>
    </w:p>
    <w:p w:rsidR="009A28FC" w:rsidRDefault="00401542">
      <w:pPr>
        <w:spacing w:line="520" w:lineRule="exact"/>
        <w:ind w:firstLineChars="200" w:firstLine="640"/>
        <w:rPr>
          <w:rFonts w:ascii="Times New Roman" w:eastAsia="仿宋_GB2312" w:hAnsi="Times New Roman" w:cs="宋体"/>
          <w:color w:val="000000"/>
          <w:sz w:val="32"/>
          <w:szCs w:val="32"/>
        </w:rPr>
      </w:pPr>
      <w:r>
        <w:rPr>
          <w:rFonts w:ascii="Times New Roman" w:eastAsia="仿宋_GB2312" w:hAnsi="Times New Roman" w:cs="宋体" w:hint="eastAsia"/>
          <w:color w:val="000000"/>
          <w:sz w:val="32"/>
          <w:szCs w:val="32"/>
        </w:rPr>
        <w:t xml:space="preserve">[9] </w:t>
      </w:r>
      <w:r>
        <w:rPr>
          <w:rFonts w:ascii="Times New Roman" w:eastAsia="仿宋_GB2312" w:hAnsi="Times New Roman" w:cs="宋体" w:hint="eastAsia"/>
          <w:color w:val="000000"/>
          <w:sz w:val="32"/>
          <w:szCs w:val="32"/>
        </w:rPr>
        <w:t>中国抗癌协会宫颈</w:t>
      </w:r>
      <w:proofErr w:type="gramStart"/>
      <w:r>
        <w:rPr>
          <w:rFonts w:ascii="Times New Roman" w:eastAsia="仿宋_GB2312" w:hAnsi="Times New Roman" w:cs="宋体" w:hint="eastAsia"/>
          <w:color w:val="000000"/>
          <w:sz w:val="32"/>
          <w:szCs w:val="32"/>
        </w:rPr>
        <w:t>癌专业</w:t>
      </w:r>
      <w:proofErr w:type="gramEnd"/>
      <w:r>
        <w:rPr>
          <w:rFonts w:ascii="Times New Roman" w:eastAsia="仿宋_GB2312" w:hAnsi="Times New Roman" w:cs="宋体" w:hint="eastAsia"/>
          <w:color w:val="000000"/>
          <w:sz w:val="32"/>
          <w:szCs w:val="32"/>
        </w:rPr>
        <w:t>委员会</w:t>
      </w:r>
      <w:r>
        <w:rPr>
          <w:rFonts w:ascii="Times New Roman" w:eastAsia="仿宋_GB2312" w:hAnsi="Times New Roman" w:cs="宋体" w:hint="eastAsia"/>
          <w:color w:val="000000"/>
          <w:sz w:val="32"/>
          <w:szCs w:val="32"/>
        </w:rPr>
        <w:t xml:space="preserve">. </w:t>
      </w:r>
      <w:r>
        <w:rPr>
          <w:rFonts w:ascii="Times New Roman" w:eastAsia="仿宋_GB2312" w:hAnsi="Times New Roman" w:cs="宋体" w:hint="eastAsia"/>
          <w:color w:val="000000"/>
          <w:sz w:val="32"/>
          <w:szCs w:val="32"/>
        </w:rPr>
        <w:t>妇科恶性肿瘤人表皮生长因子受体</w:t>
      </w:r>
      <w:r>
        <w:rPr>
          <w:rFonts w:ascii="Times New Roman" w:eastAsia="仿宋_GB2312" w:hAnsi="Times New Roman" w:cs="宋体" w:hint="eastAsia"/>
          <w:color w:val="000000"/>
          <w:sz w:val="32"/>
          <w:szCs w:val="32"/>
        </w:rPr>
        <w:t>2</w:t>
      </w:r>
      <w:r>
        <w:rPr>
          <w:rFonts w:ascii="Times New Roman" w:eastAsia="仿宋_GB2312" w:hAnsi="Times New Roman" w:cs="宋体" w:hint="eastAsia"/>
          <w:color w:val="000000"/>
          <w:sz w:val="32"/>
          <w:szCs w:val="32"/>
        </w:rPr>
        <w:t>病理检测指南（</w:t>
      </w:r>
      <w:r>
        <w:rPr>
          <w:rFonts w:ascii="Times New Roman" w:eastAsia="仿宋_GB2312" w:hAnsi="Times New Roman" w:cs="宋体" w:hint="eastAsia"/>
          <w:color w:val="000000"/>
          <w:sz w:val="32"/>
          <w:szCs w:val="32"/>
        </w:rPr>
        <w:t>2024</w:t>
      </w:r>
      <w:r>
        <w:rPr>
          <w:rFonts w:ascii="Times New Roman" w:eastAsia="仿宋_GB2312" w:hAnsi="Times New Roman" w:cs="宋体" w:hint="eastAsia"/>
          <w:color w:val="000000"/>
          <w:sz w:val="32"/>
          <w:szCs w:val="32"/>
        </w:rPr>
        <w:t>年版）</w:t>
      </w:r>
      <w:r>
        <w:rPr>
          <w:rFonts w:ascii="Times New Roman" w:eastAsia="仿宋_GB2312" w:hAnsi="Times New Roman" w:cs="宋体" w:hint="eastAsia"/>
          <w:color w:val="000000"/>
          <w:sz w:val="32"/>
          <w:szCs w:val="32"/>
        </w:rPr>
        <w:t xml:space="preserve">[J]. </w:t>
      </w:r>
      <w:r>
        <w:rPr>
          <w:rFonts w:ascii="Times New Roman" w:eastAsia="仿宋_GB2312" w:hAnsi="Times New Roman" w:cs="宋体" w:hint="eastAsia"/>
          <w:color w:val="000000"/>
          <w:sz w:val="32"/>
          <w:szCs w:val="32"/>
        </w:rPr>
        <w:t>中国实用妇科与产科杂志</w:t>
      </w:r>
      <w:r>
        <w:rPr>
          <w:rFonts w:ascii="Times New Roman" w:eastAsia="仿宋_GB2312" w:hAnsi="Times New Roman" w:cs="宋体" w:hint="eastAsia"/>
          <w:color w:val="000000"/>
          <w:sz w:val="32"/>
          <w:szCs w:val="32"/>
        </w:rPr>
        <w:t>, 2024, 40(1</w:t>
      </w:r>
      <w:r>
        <w:rPr>
          <w:rFonts w:ascii="Times New Roman" w:eastAsia="仿宋_GB2312" w:hAnsi="Times New Roman" w:cs="宋体" w:hint="eastAsia"/>
          <w:color w:val="000000"/>
          <w:sz w:val="32"/>
          <w:szCs w:val="32"/>
        </w:rPr>
        <w:t>1): 1094-1102.</w:t>
      </w:r>
    </w:p>
    <w:p w:rsidR="009A28FC" w:rsidRDefault="009A28FC">
      <w:pPr>
        <w:spacing w:line="520" w:lineRule="exact"/>
        <w:ind w:firstLineChars="200" w:firstLine="640"/>
        <w:rPr>
          <w:rFonts w:ascii="Times New Roman" w:eastAsia="仿宋_GB2312" w:hAnsi="Times New Roman"/>
          <w:color w:val="000000"/>
          <w:sz w:val="32"/>
          <w:szCs w:val="32"/>
          <w:highlight w:val="yellow"/>
        </w:rPr>
      </w:pPr>
    </w:p>
    <w:sectPr w:rsidR="009A28FC" w:rsidSect="00DA57EA">
      <w:footerReference w:type="even" r:id="rId9"/>
      <w:footerReference w:type="default" r:id="rId10"/>
      <w:pgSz w:w="11906" w:h="16838"/>
      <w:pgMar w:top="2098" w:right="1474" w:bottom="1985" w:left="1588" w:header="851" w:footer="1191"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1542" w:rsidRDefault="00401542" w:rsidP="00D03760">
      <w:r>
        <w:separator/>
      </w:r>
    </w:p>
  </w:endnote>
  <w:endnote w:type="continuationSeparator" w:id="0">
    <w:p w:rsidR="00401542" w:rsidRDefault="00401542" w:rsidP="00D037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unga">
    <w:altName w:val="Courier New"/>
    <w:panose1 w:val="00000400000000000000"/>
    <w:charset w:val="00"/>
    <w:family w:val="swiss"/>
    <w:pitch w:val="default"/>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57EA" w:rsidRPr="00DA57EA" w:rsidRDefault="00DA57EA" w:rsidP="00DA57EA">
    <w:pPr>
      <w:pStyle w:val="a7"/>
      <w:ind w:leftChars="100" w:left="210"/>
      <w:rPr>
        <w:rFonts w:ascii="Times New Roman" w:hAnsi="Times New Roman" w:cs="Times New Roman" w:hint="eastAsia"/>
      </w:rPr>
    </w:pPr>
    <w:r w:rsidRPr="001D6B0C">
      <w:rPr>
        <w:rFonts w:ascii="Times New Roman" w:hAnsi="Times New Roman" w:cs="Times New Roman"/>
        <w:sz w:val="28"/>
        <w:szCs w:val="28"/>
      </w:rPr>
      <w:t xml:space="preserve">— </w:t>
    </w:r>
    <w:r w:rsidRPr="00501200">
      <w:rPr>
        <w:rFonts w:ascii="宋体" w:eastAsia="宋体" w:hAnsi="宋体" w:cs="Times New Roman"/>
        <w:sz w:val="28"/>
        <w:szCs w:val="28"/>
      </w:rPr>
      <w:fldChar w:fldCharType="begin"/>
    </w:r>
    <w:r w:rsidRPr="00501200">
      <w:rPr>
        <w:rFonts w:ascii="宋体" w:eastAsia="宋体" w:hAnsi="宋体" w:cs="Times New Roman"/>
        <w:sz w:val="28"/>
        <w:szCs w:val="28"/>
      </w:rPr>
      <w:instrText xml:space="preserve"> PAGE   \* MERGEFORMAT </w:instrText>
    </w:r>
    <w:r w:rsidRPr="00501200">
      <w:rPr>
        <w:rFonts w:ascii="宋体" w:eastAsia="宋体" w:hAnsi="宋体" w:cs="Times New Roman"/>
        <w:sz w:val="28"/>
        <w:szCs w:val="28"/>
      </w:rPr>
      <w:fldChar w:fldCharType="separate"/>
    </w:r>
    <w:r w:rsidR="008F0522">
      <w:rPr>
        <w:rFonts w:ascii="宋体" w:eastAsia="宋体" w:hAnsi="宋体" w:cs="Times New Roman"/>
        <w:noProof/>
        <w:sz w:val="28"/>
        <w:szCs w:val="28"/>
      </w:rPr>
      <w:t>24</w:t>
    </w:r>
    <w:r w:rsidRPr="00501200">
      <w:rPr>
        <w:rFonts w:ascii="宋体" w:eastAsia="宋体" w:hAnsi="宋体" w:cs="Times New Roman"/>
        <w:sz w:val="28"/>
        <w:szCs w:val="28"/>
      </w:rPr>
      <w:fldChar w:fldCharType="end"/>
    </w:r>
    <w:r w:rsidRPr="001D6B0C">
      <w:rPr>
        <w:rFonts w:ascii="Times New Roman" w:hAnsi="Times New Roman" w:cs="Times New Roman"/>
        <w:sz w:val="28"/>
        <w:szCs w:val="28"/>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57EA" w:rsidRPr="00DA57EA" w:rsidRDefault="00DA57EA" w:rsidP="00DA57EA">
    <w:pPr>
      <w:pStyle w:val="a7"/>
      <w:wordWrap w:val="0"/>
      <w:ind w:rightChars="100" w:right="210"/>
      <w:jc w:val="right"/>
      <w:rPr>
        <w:rFonts w:ascii="Times New Roman" w:hAnsi="Times New Roman" w:cs="Times New Roman" w:hint="eastAsia"/>
      </w:rPr>
    </w:pPr>
    <w:r w:rsidRPr="001D6B0C">
      <w:rPr>
        <w:rFonts w:ascii="Times New Roman" w:hAnsi="Times New Roman" w:cs="Times New Roman"/>
        <w:sz w:val="28"/>
        <w:szCs w:val="28"/>
      </w:rPr>
      <w:t xml:space="preserve">— </w:t>
    </w:r>
    <w:r w:rsidRPr="00501200">
      <w:rPr>
        <w:rFonts w:ascii="宋体" w:eastAsia="宋体" w:hAnsi="宋体" w:cs="Times New Roman"/>
        <w:sz w:val="28"/>
        <w:szCs w:val="28"/>
      </w:rPr>
      <w:fldChar w:fldCharType="begin"/>
    </w:r>
    <w:r w:rsidRPr="00501200">
      <w:rPr>
        <w:rFonts w:ascii="宋体" w:eastAsia="宋体" w:hAnsi="宋体" w:cs="Times New Roman"/>
        <w:sz w:val="28"/>
        <w:szCs w:val="28"/>
      </w:rPr>
      <w:instrText xml:space="preserve"> PAGE   \* MERGEFORMAT </w:instrText>
    </w:r>
    <w:r w:rsidRPr="00501200">
      <w:rPr>
        <w:rFonts w:ascii="宋体" w:eastAsia="宋体" w:hAnsi="宋体" w:cs="Times New Roman"/>
        <w:sz w:val="28"/>
        <w:szCs w:val="28"/>
      </w:rPr>
      <w:fldChar w:fldCharType="separate"/>
    </w:r>
    <w:r w:rsidR="008F0522" w:rsidRPr="008F0522">
      <w:rPr>
        <w:rFonts w:ascii="宋体" w:eastAsia="宋体" w:hAnsi="宋体" w:cs="Times New Roman"/>
        <w:noProof/>
        <w:sz w:val="28"/>
        <w:szCs w:val="28"/>
        <w:lang w:val="zh-CN"/>
      </w:rPr>
      <w:t>25</w:t>
    </w:r>
    <w:r w:rsidRPr="00501200">
      <w:rPr>
        <w:rFonts w:ascii="宋体" w:eastAsia="宋体" w:hAnsi="宋体" w:cs="Times New Roman"/>
        <w:sz w:val="28"/>
        <w:szCs w:val="28"/>
      </w:rPr>
      <w:fldChar w:fldCharType="end"/>
    </w:r>
    <w:r w:rsidRPr="001D6B0C">
      <w:rPr>
        <w:rFonts w:ascii="Times New Roman" w:hAnsi="Times New Roman" w:cs="Times New Roman"/>
        <w:sz w:val="28"/>
        <w:szCs w:val="28"/>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1542" w:rsidRDefault="00401542" w:rsidP="00D03760">
      <w:r>
        <w:separator/>
      </w:r>
    </w:p>
  </w:footnote>
  <w:footnote w:type="continuationSeparator" w:id="0">
    <w:p w:rsidR="00401542" w:rsidRDefault="00401542" w:rsidP="00D0376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ECA1432"/>
    <w:multiLevelType w:val="singleLevel"/>
    <w:tmpl w:val="8ECA1432"/>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E6F"/>
    <w:rsid w:val="000060FB"/>
    <w:rsid w:val="00007375"/>
    <w:rsid w:val="000146DB"/>
    <w:rsid w:val="00030624"/>
    <w:rsid w:val="00035102"/>
    <w:rsid w:val="00036DDF"/>
    <w:rsid w:val="0003713F"/>
    <w:rsid w:val="000418CE"/>
    <w:rsid w:val="00053149"/>
    <w:rsid w:val="000551F0"/>
    <w:rsid w:val="00061AC0"/>
    <w:rsid w:val="00075344"/>
    <w:rsid w:val="00076AEF"/>
    <w:rsid w:val="000778CB"/>
    <w:rsid w:val="00085073"/>
    <w:rsid w:val="00091410"/>
    <w:rsid w:val="000935DB"/>
    <w:rsid w:val="00093B6A"/>
    <w:rsid w:val="000A1748"/>
    <w:rsid w:val="000A5612"/>
    <w:rsid w:val="000A5931"/>
    <w:rsid w:val="000A618D"/>
    <w:rsid w:val="000B7605"/>
    <w:rsid w:val="000C0804"/>
    <w:rsid w:val="000C569A"/>
    <w:rsid w:val="000C66C1"/>
    <w:rsid w:val="000C76B5"/>
    <w:rsid w:val="000D43EC"/>
    <w:rsid w:val="000E19BA"/>
    <w:rsid w:val="000E2032"/>
    <w:rsid w:val="000E3F63"/>
    <w:rsid w:val="000F30A5"/>
    <w:rsid w:val="000F7E50"/>
    <w:rsid w:val="001063C6"/>
    <w:rsid w:val="001066FC"/>
    <w:rsid w:val="0012241C"/>
    <w:rsid w:val="00125549"/>
    <w:rsid w:val="00140CC7"/>
    <w:rsid w:val="00144849"/>
    <w:rsid w:val="00155B15"/>
    <w:rsid w:val="00163FB3"/>
    <w:rsid w:val="00166BC4"/>
    <w:rsid w:val="0016724A"/>
    <w:rsid w:val="00167584"/>
    <w:rsid w:val="00167C48"/>
    <w:rsid w:val="00170CD4"/>
    <w:rsid w:val="00170FC1"/>
    <w:rsid w:val="00172623"/>
    <w:rsid w:val="0017294D"/>
    <w:rsid w:val="00176FCF"/>
    <w:rsid w:val="00184C99"/>
    <w:rsid w:val="00197B36"/>
    <w:rsid w:val="001B34F6"/>
    <w:rsid w:val="001C26C7"/>
    <w:rsid w:val="001C6503"/>
    <w:rsid w:val="001C7A57"/>
    <w:rsid w:val="001D1CCD"/>
    <w:rsid w:val="001D2E51"/>
    <w:rsid w:val="001E0C6A"/>
    <w:rsid w:val="001E0F97"/>
    <w:rsid w:val="001E3AC8"/>
    <w:rsid w:val="001E72E7"/>
    <w:rsid w:val="001F05C2"/>
    <w:rsid w:val="00200295"/>
    <w:rsid w:val="00201829"/>
    <w:rsid w:val="00206BB7"/>
    <w:rsid w:val="0021335A"/>
    <w:rsid w:val="002146CF"/>
    <w:rsid w:val="00222063"/>
    <w:rsid w:val="00227D0E"/>
    <w:rsid w:val="00234A2F"/>
    <w:rsid w:val="00250FC8"/>
    <w:rsid w:val="002523EE"/>
    <w:rsid w:val="0025272D"/>
    <w:rsid w:val="0025592C"/>
    <w:rsid w:val="00256096"/>
    <w:rsid w:val="00270525"/>
    <w:rsid w:val="002741B7"/>
    <w:rsid w:val="00284686"/>
    <w:rsid w:val="002A1353"/>
    <w:rsid w:val="002A5691"/>
    <w:rsid w:val="002A5D23"/>
    <w:rsid w:val="002A775F"/>
    <w:rsid w:val="002A7F72"/>
    <w:rsid w:val="002B58F6"/>
    <w:rsid w:val="002B65DB"/>
    <w:rsid w:val="002D59FD"/>
    <w:rsid w:val="002D6A3E"/>
    <w:rsid w:val="002F42B7"/>
    <w:rsid w:val="002F43A1"/>
    <w:rsid w:val="002F619A"/>
    <w:rsid w:val="002F66F3"/>
    <w:rsid w:val="00301DFD"/>
    <w:rsid w:val="00303DF7"/>
    <w:rsid w:val="00312B77"/>
    <w:rsid w:val="00323C8D"/>
    <w:rsid w:val="00323E9F"/>
    <w:rsid w:val="003240E8"/>
    <w:rsid w:val="0032430D"/>
    <w:rsid w:val="0032467D"/>
    <w:rsid w:val="0033186E"/>
    <w:rsid w:val="00331E60"/>
    <w:rsid w:val="00333CBD"/>
    <w:rsid w:val="00347D4E"/>
    <w:rsid w:val="003542D2"/>
    <w:rsid w:val="0036548B"/>
    <w:rsid w:val="00370DE5"/>
    <w:rsid w:val="003735B9"/>
    <w:rsid w:val="003846A9"/>
    <w:rsid w:val="00386559"/>
    <w:rsid w:val="003910CB"/>
    <w:rsid w:val="00396682"/>
    <w:rsid w:val="00396C99"/>
    <w:rsid w:val="003A131F"/>
    <w:rsid w:val="003B514A"/>
    <w:rsid w:val="003B5552"/>
    <w:rsid w:val="003C4013"/>
    <w:rsid w:val="003E7C39"/>
    <w:rsid w:val="003F031B"/>
    <w:rsid w:val="003F2915"/>
    <w:rsid w:val="003F5D66"/>
    <w:rsid w:val="003F60D5"/>
    <w:rsid w:val="003F72C1"/>
    <w:rsid w:val="00401399"/>
    <w:rsid w:val="00401542"/>
    <w:rsid w:val="00401CA9"/>
    <w:rsid w:val="00402188"/>
    <w:rsid w:val="00402290"/>
    <w:rsid w:val="00406661"/>
    <w:rsid w:val="00415CC8"/>
    <w:rsid w:val="004250BF"/>
    <w:rsid w:val="00430EAF"/>
    <w:rsid w:val="004310BA"/>
    <w:rsid w:val="00434C11"/>
    <w:rsid w:val="00441C07"/>
    <w:rsid w:val="004442DE"/>
    <w:rsid w:val="0044738B"/>
    <w:rsid w:val="00453FCC"/>
    <w:rsid w:val="00460162"/>
    <w:rsid w:val="0046357D"/>
    <w:rsid w:val="00464BF3"/>
    <w:rsid w:val="00471116"/>
    <w:rsid w:val="00477776"/>
    <w:rsid w:val="00484A42"/>
    <w:rsid w:val="004948B1"/>
    <w:rsid w:val="004A0AC4"/>
    <w:rsid w:val="004C3286"/>
    <w:rsid w:val="004C4014"/>
    <w:rsid w:val="004C52D5"/>
    <w:rsid w:val="004C5713"/>
    <w:rsid w:val="004C58F2"/>
    <w:rsid w:val="004E01AC"/>
    <w:rsid w:val="004E539E"/>
    <w:rsid w:val="004F4CDB"/>
    <w:rsid w:val="004F665B"/>
    <w:rsid w:val="005010EC"/>
    <w:rsid w:val="00501704"/>
    <w:rsid w:val="00501E90"/>
    <w:rsid w:val="00502EE0"/>
    <w:rsid w:val="0051252A"/>
    <w:rsid w:val="00512F03"/>
    <w:rsid w:val="005170CD"/>
    <w:rsid w:val="00522A3C"/>
    <w:rsid w:val="00523BD3"/>
    <w:rsid w:val="00527F41"/>
    <w:rsid w:val="0053168B"/>
    <w:rsid w:val="005347F1"/>
    <w:rsid w:val="005357C6"/>
    <w:rsid w:val="005373C5"/>
    <w:rsid w:val="005402E6"/>
    <w:rsid w:val="00542C23"/>
    <w:rsid w:val="00543353"/>
    <w:rsid w:val="00545B89"/>
    <w:rsid w:val="00546455"/>
    <w:rsid w:val="0054681E"/>
    <w:rsid w:val="00552440"/>
    <w:rsid w:val="00553994"/>
    <w:rsid w:val="005562CE"/>
    <w:rsid w:val="00560A7E"/>
    <w:rsid w:val="005705A3"/>
    <w:rsid w:val="00571F4B"/>
    <w:rsid w:val="0057294F"/>
    <w:rsid w:val="00581F00"/>
    <w:rsid w:val="00583E93"/>
    <w:rsid w:val="00585AF8"/>
    <w:rsid w:val="00586DF4"/>
    <w:rsid w:val="005878DF"/>
    <w:rsid w:val="0059196F"/>
    <w:rsid w:val="00591DBE"/>
    <w:rsid w:val="005922C7"/>
    <w:rsid w:val="005927C9"/>
    <w:rsid w:val="00595916"/>
    <w:rsid w:val="005A0AEA"/>
    <w:rsid w:val="005A5342"/>
    <w:rsid w:val="005B1813"/>
    <w:rsid w:val="005B7D71"/>
    <w:rsid w:val="005C7055"/>
    <w:rsid w:val="005D3C08"/>
    <w:rsid w:val="005D447C"/>
    <w:rsid w:val="005D5FDC"/>
    <w:rsid w:val="005D6178"/>
    <w:rsid w:val="005D725D"/>
    <w:rsid w:val="005D763F"/>
    <w:rsid w:val="005E11A5"/>
    <w:rsid w:val="005E5EA4"/>
    <w:rsid w:val="005F40E2"/>
    <w:rsid w:val="005F5A50"/>
    <w:rsid w:val="005F75F6"/>
    <w:rsid w:val="0060333C"/>
    <w:rsid w:val="00604AC0"/>
    <w:rsid w:val="00612EEE"/>
    <w:rsid w:val="0061644D"/>
    <w:rsid w:val="0063082B"/>
    <w:rsid w:val="00632648"/>
    <w:rsid w:val="0063303F"/>
    <w:rsid w:val="006365B6"/>
    <w:rsid w:val="0064164B"/>
    <w:rsid w:val="00645DCD"/>
    <w:rsid w:val="00654E55"/>
    <w:rsid w:val="006604BA"/>
    <w:rsid w:val="00672D0B"/>
    <w:rsid w:val="00680476"/>
    <w:rsid w:val="00680FD8"/>
    <w:rsid w:val="00682EB9"/>
    <w:rsid w:val="0068362C"/>
    <w:rsid w:val="00683F54"/>
    <w:rsid w:val="00691522"/>
    <w:rsid w:val="00695EF9"/>
    <w:rsid w:val="006B3163"/>
    <w:rsid w:val="006B5B47"/>
    <w:rsid w:val="006C4360"/>
    <w:rsid w:val="006D3763"/>
    <w:rsid w:val="006D5310"/>
    <w:rsid w:val="006E58D1"/>
    <w:rsid w:val="006E6F89"/>
    <w:rsid w:val="006F0B09"/>
    <w:rsid w:val="006F10D3"/>
    <w:rsid w:val="006F1640"/>
    <w:rsid w:val="006F474A"/>
    <w:rsid w:val="007018E6"/>
    <w:rsid w:val="00703703"/>
    <w:rsid w:val="00703836"/>
    <w:rsid w:val="00713E03"/>
    <w:rsid w:val="00715EEC"/>
    <w:rsid w:val="00724214"/>
    <w:rsid w:val="00724B1B"/>
    <w:rsid w:val="00724E92"/>
    <w:rsid w:val="00725FD4"/>
    <w:rsid w:val="00732569"/>
    <w:rsid w:val="00733C32"/>
    <w:rsid w:val="00742077"/>
    <w:rsid w:val="007465BE"/>
    <w:rsid w:val="00746E59"/>
    <w:rsid w:val="0074701D"/>
    <w:rsid w:val="0075329F"/>
    <w:rsid w:val="0075473B"/>
    <w:rsid w:val="00756472"/>
    <w:rsid w:val="00760734"/>
    <w:rsid w:val="0076103F"/>
    <w:rsid w:val="007674F0"/>
    <w:rsid w:val="00767A61"/>
    <w:rsid w:val="007726D1"/>
    <w:rsid w:val="00772848"/>
    <w:rsid w:val="00774E79"/>
    <w:rsid w:val="00787951"/>
    <w:rsid w:val="00793AA8"/>
    <w:rsid w:val="007A67D8"/>
    <w:rsid w:val="007B622C"/>
    <w:rsid w:val="007C05DC"/>
    <w:rsid w:val="007C27CF"/>
    <w:rsid w:val="007C2CD3"/>
    <w:rsid w:val="007C3762"/>
    <w:rsid w:val="007D05A7"/>
    <w:rsid w:val="007D2789"/>
    <w:rsid w:val="007D3215"/>
    <w:rsid w:val="007D5017"/>
    <w:rsid w:val="007D55BF"/>
    <w:rsid w:val="007D5F8F"/>
    <w:rsid w:val="007E1287"/>
    <w:rsid w:val="007E20EA"/>
    <w:rsid w:val="007F10CF"/>
    <w:rsid w:val="007F20B1"/>
    <w:rsid w:val="007F2EF2"/>
    <w:rsid w:val="007F4959"/>
    <w:rsid w:val="007F508A"/>
    <w:rsid w:val="008017D1"/>
    <w:rsid w:val="00803D1A"/>
    <w:rsid w:val="0080452B"/>
    <w:rsid w:val="00805518"/>
    <w:rsid w:val="00806FF8"/>
    <w:rsid w:val="0081124C"/>
    <w:rsid w:val="00823347"/>
    <w:rsid w:val="00825B10"/>
    <w:rsid w:val="008358A5"/>
    <w:rsid w:val="008401BC"/>
    <w:rsid w:val="0084533D"/>
    <w:rsid w:val="00845803"/>
    <w:rsid w:val="0085455D"/>
    <w:rsid w:val="00856833"/>
    <w:rsid w:val="00857C44"/>
    <w:rsid w:val="00870414"/>
    <w:rsid w:val="00876266"/>
    <w:rsid w:val="00877A21"/>
    <w:rsid w:val="00896124"/>
    <w:rsid w:val="008A3E7D"/>
    <w:rsid w:val="008A68D7"/>
    <w:rsid w:val="008B0252"/>
    <w:rsid w:val="008B066C"/>
    <w:rsid w:val="008B1767"/>
    <w:rsid w:val="008B239D"/>
    <w:rsid w:val="008B7EE7"/>
    <w:rsid w:val="008C1848"/>
    <w:rsid w:val="008C613B"/>
    <w:rsid w:val="008C7F16"/>
    <w:rsid w:val="008F0522"/>
    <w:rsid w:val="008F1910"/>
    <w:rsid w:val="008F1A12"/>
    <w:rsid w:val="00901EAD"/>
    <w:rsid w:val="00903966"/>
    <w:rsid w:val="00903A89"/>
    <w:rsid w:val="0091010D"/>
    <w:rsid w:val="00913B9E"/>
    <w:rsid w:val="00914990"/>
    <w:rsid w:val="00915F0C"/>
    <w:rsid w:val="00920617"/>
    <w:rsid w:val="00922374"/>
    <w:rsid w:val="00935337"/>
    <w:rsid w:val="00940910"/>
    <w:rsid w:val="00955A36"/>
    <w:rsid w:val="00971258"/>
    <w:rsid w:val="00972A50"/>
    <w:rsid w:val="00982FCE"/>
    <w:rsid w:val="009863D7"/>
    <w:rsid w:val="00992119"/>
    <w:rsid w:val="0099473A"/>
    <w:rsid w:val="009979AD"/>
    <w:rsid w:val="009A28FC"/>
    <w:rsid w:val="009A6D32"/>
    <w:rsid w:val="009B7415"/>
    <w:rsid w:val="009C4B77"/>
    <w:rsid w:val="009C7522"/>
    <w:rsid w:val="009D3C33"/>
    <w:rsid w:val="009D53DC"/>
    <w:rsid w:val="009D66DD"/>
    <w:rsid w:val="009E11B4"/>
    <w:rsid w:val="009E1593"/>
    <w:rsid w:val="009E1633"/>
    <w:rsid w:val="009E1BE6"/>
    <w:rsid w:val="00A102D0"/>
    <w:rsid w:val="00A131C0"/>
    <w:rsid w:val="00A17DB8"/>
    <w:rsid w:val="00A25777"/>
    <w:rsid w:val="00A2689E"/>
    <w:rsid w:val="00A367E7"/>
    <w:rsid w:val="00A4221D"/>
    <w:rsid w:val="00A54EBA"/>
    <w:rsid w:val="00A55161"/>
    <w:rsid w:val="00A5676B"/>
    <w:rsid w:val="00A56B1C"/>
    <w:rsid w:val="00A576D1"/>
    <w:rsid w:val="00A6705B"/>
    <w:rsid w:val="00A70FAE"/>
    <w:rsid w:val="00A768DF"/>
    <w:rsid w:val="00A81103"/>
    <w:rsid w:val="00A8595D"/>
    <w:rsid w:val="00A9103A"/>
    <w:rsid w:val="00A92399"/>
    <w:rsid w:val="00A96968"/>
    <w:rsid w:val="00A97482"/>
    <w:rsid w:val="00A976B9"/>
    <w:rsid w:val="00AA0105"/>
    <w:rsid w:val="00AA15B4"/>
    <w:rsid w:val="00AA1788"/>
    <w:rsid w:val="00AB1BAA"/>
    <w:rsid w:val="00AC07E9"/>
    <w:rsid w:val="00AC3695"/>
    <w:rsid w:val="00AC5033"/>
    <w:rsid w:val="00AC607A"/>
    <w:rsid w:val="00AC611D"/>
    <w:rsid w:val="00AC7D69"/>
    <w:rsid w:val="00AD5E96"/>
    <w:rsid w:val="00AE3730"/>
    <w:rsid w:val="00AE4F74"/>
    <w:rsid w:val="00AE7166"/>
    <w:rsid w:val="00AF07EF"/>
    <w:rsid w:val="00AF38AC"/>
    <w:rsid w:val="00AF509C"/>
    <w:rsid w:val="00AF5F0E"/>
    <w:rsid w:val="00B073B7"/>
    <w:rsid w:val="00B07840"/>
    <w:rsid w:val="00B15838"/>
    <w:rsid w:val="00B2123E"/>
    <w:rsid w:val="00B25001"/>
    <w:rsid w:val="00B310A7"/>
    <w:rsid w:val="00B32101"/>
    <w:rsid w:val="00B4463F"/>
    <w:rsid w:val="00B51F39"/>
    <w:rsid w:val="00B5402F"/>
    <w:rsid w:val="00B55AC1"/>
    <w:rsid w:val="00B61DE6"/>
    <w:rsid w:val="00B675AD"/>
    <w:rsid w:val="00B6765C"/>
    <w:rsid w:val="00B728CB"/>
    <w:rsid w:val="00B735C7"/>
    <w:rsid w:val="00B766D1"/>
    <w:rsid w:val="00B82237"/>
    <w:rsid w:val="00B936D4"/>
    <w:rsid w:val="00BA2398"/>
    <w:rsid w:val="00BA6B11"/>
    <w:rsid w:val="00BB0F47"/>
    <w:rsid w:val="00BB15AA"/>
    <w:rsid w:val="00BB3F76"/>
    <w:rsid w:val="00BB4391"/>
    <w:rsid w:val="00BB5B5C"/>
    <w:rsid w:val="00BC356A"/>
    <w:rsid w:val="00BC5874"/>
    <w:rsid w:val="00BF1169"/>
    <w:rsid w:val="00BF1E6F"/>
    <w:rsid w:val="00BF4419"/>
    <w:rsid w:val="00BF4765"/>
    <w:rsid w:val="00C03DA5"/>
    <w:rsid w:val="00C051C6"/>
    <w:rsid w:val="00C12338"/>
    <w:rsid w:val="00C16E17"/>
    <w:rsid w:val="00C17C92"/>
    <w:rsid w:val="00C24CEA"/>
    <w:rsid w:val="00C25957"/>
    <w:rsid w:val="00C32EED"/>
    <w:rsid w:val="00C36901"/>
    <w:rsid w:val="00C45A90"/>
    <w:rsid w:val="00C46335"/>
    <w:rsid w:val="00C47DD7"/>
    <w:rsid w:val="00C517C4"/>
    <w:rsid w:val="00C52694"/>
    <w:rsid w:val="00C624DD"/>
    <w:rsid w:val="00C63D82"/>
    <w:rsid w:val="00C64C01"/>
    <w:rsid w:val="00C64DE9"/>
    <w:rsid w:val="00C67C7A"/>
    <w:rsid w:val="00C738B3"/>
    <w:rsid w:val="00C74621"/>
    <w:rsid w:val="00C77087"/>
    <w:rsid w:val="00C77CB4"/>
    <w:rsid w:val="00C85F5E"/>
    <w:rsid w:val="00C8778C"/>
    <w:rsid w:val="00C9243E"/>
    <w:rsid w:val="00C9431B"/>
    <w:rsid w:val="00C96F47"/>
    <w:rsid w:val="00C97F4C"/>
    <w:rsid w:val="00CB5B29"/>
    <w:rsid w:val="00CC22AE"/>
    <w:rsid w:val="00CD3DBD"/>
    <w:rsid w:val="00CE2D85"/>
    <w:rsid w:val="00CE3D2F"/>
    <w:rsid w:val="00CE792B"/>
    <w:rsid w:val="00CF24AA"/>
    <w:rsid w:val="00CF5D09"/>
    <w:rsid w:val="00D0075F"/>
    <w:rsid w:val="00D03760"/>
    <w:rsid w:val="00D037FC"/>
    <w:rsid w:val="00D06AF7"/>
    <w:rsid w:val="00D12380"/>
    <w:rsid w:val="00D14F38"/>
    <w:rsid w:val="00D224FA"/>
    <w:rsid w:val="00D23589"/>
    <w:rsid w:val="00D248D3"/>
    <w:rsid w:val="00D301DB"/>
    <w:rsid w:val="00D30628"/>
    <w:rsid w:val="00D34EAC"/>
    <w:rsid w:val="00D423DB"/>
    <w:rsid w:val="00D45FF0"/>
    <w:rsid w:val="00D51D01"/>
    <w:rsid w:val="00D578B0"/>
    <w:rsid w:val="00D57956"/>
    <w:rsid w:val="00D62DEE"/>
    <w:rsid w:val="00D63B01"/>
    <w:rsid w:val="00D66182"/>
    <w:rsid w:val="00D7509B"/>
    <w:rsid w:val="00D76BFB"/>
    <w:rsid w:val="00D807D6"/>
    <w:rsid w:val="00D86C34"/>
    <w:rsid w:val="00D936C2"/>
    <w:rsid w:val="00DA3F92"/>
    <w:rsid w:val="00DA57EA"/>
    <w:rsid w:val="00DB30C4"/>
    <w:rsid w:val="00DB6039"/>
    <w:rsid w:val="00DC397F"/>
    <w:rsid w:val="00DC43AC"/>
    <w:rsid w:val="00DC54F8"/>
    <w:rsid w:val="00DC692B"/>
    <w:rsid w:val="00DD1966"/>
    <w:rsid w:val="00DD23E0"/>
    <w:rsid w:val="00DD290B"/>
    <w:rsid w:val="00DE2A81"/>
    <w:rsid w:val="00DE349C"/>
    <w:rsid w:val="00DF1B8D"/>
    <w:rsid w:val="00E03911"/>
    <w:rsid w:val="00E03FBA"/>
    <w:rsid w:val="00E07B1B"/>
    <w:rsid w:val="00E145D1"/>
    <w:rsid w:val="00E14A2A"/>
    <w:rsid w:val="00E17E85"/>
    <w:rsid w:val="00E20482"/>
    <w:rsid w:val="00E211A2"/>
    <w:rsid w:val="00E2198A"/>
    <w:rsid w:val="00E40074"/>
    <w:rsid w:val="00E42884"/>
    <w:rsid w:val="00E434C2"/>
    <w:rsid w:val="00E43ADC"/>
    <w:rsid w:val="00E43CC5"/>
    <w:rsid w:val="00E478AB"/>
    <w:rsid w:val="00E54012"/>
    <w:rsid w:val="00E71417"/>
    <w:rsid w:val="00E71C6E"/>
    <w:rsid w:val="00E77EA1"/>
    <w:rsid w:val="00E84BA1"/>
    <w:rsid w:val="00E9616B"/>
    <w:rsid w:val="00EA2648"/>
    <w:rsid w:val="00EA3059"/>
    <w:rsid w:val="00EB21CA"/>
    <w:rsid w:val="00EB31AD"/>
    <w:rsid w:val="00EC3644"/>
    <w:rsid w:val="00EC3C78"/>
    <w:rsid w:val="00EC5991"/>
    <w:rsid w:val="00ED2692"/>
    <w:rsid w:val="00EE2DCA"/>
    <w:rsid w:val="00EE5C19"/>
    <w:rsid w:val="00EF7083"/>
    <w:rsid w:val="00F0036B"/>
    <w:rsid w:val="00F00D47"/>
    <w:rsid w:val="00F022BF"/>
    <w:rsid w:val="00F0395F"/>
    <w:rsid w:val="00F053A7"/>
    <w:rsid w:val="00F074B5"/>
    <w:rsid w:val="00F269F2"/>
    <w:rsid w:val="00F27B66"/>
    <w:rsid w:val="00F43331"/>
    <w:rsid w:val="00F46AD0"/>
    <w:rsid w:val="00F4722D"/>
    <w:rsid w:val="00F5329F"/>
    <w:rsid w:val="00F553CA"/>
    <w:rsid w:val="00F627B0"/>
    <w:rsid w:val="00F82930"/>
    <w:rsid w:val="00F84C34"/>
    <w:rsid w:val="00F90797"/>
    <w:rsid w:val="00F93FFB"/>
    <w:rsid w:val="00FA0146"/>
    <w:rsid w:val="00FA1619"/>
    <w:rsid w:val="00FA5267"/>
    <w:rsid w:val="00FB39EE"/>
    <w:rsid w:val="00FC02D6"/>
    <w:rsid w:val="00FC0CC8"/>
    <w:rsid w:val="00FC109F"/>
    <w:rsid w:val="00FC2E77"/>
    <w:rsid w:val="00FC369E"/>
    <w:rsid w:val="00FD028A"/>
    <w:rsid w:val="00FD0E7C"/>
    <w:rsid w:val="00FD1AB0"/>
    <w:rsid w:val="00FD4124"/>
    <w:rsid w:val="00FE2C6D"/>
    <w:rsid w:val="00FE3C73"/>
    <w:rsid w:val="00FE46E6"/>
    <w:rsid w:val="00FE6721"/>
    <w:rsid w:val="00FF059C"/>
    <w:rsid w:val="00FF21B1"/>
    <w:rsid w:val="023575E5"/>
    <w:rsid w:val="038E2B57"/>
    <w:rsid w:val="04A80B54"/>
    <w:rsid w:val="07E2025C"/>
    <w:rsid w:val="0811724E"/>
    <w:rsid w:val="09D37C67"/>
    <w:rsid w:val="0A2971A1"/>
    <w:rsid w:val="0EBB3118"/>
    <w:rsid w:val="0ECD759D"/>
    <w:rsid w:val="0F024F57"/>
    <w:rsid w:val="0F1C1729"/>
    <w:rsid w:val="0F2E1265"/>
    <w:rsid w:val="0F366274"/>
    <w:rsid w:val="11CE5AA9"/>
    <w:rsid w:val="11E10D6E"/>
    <w:rsid w:val="131849E5"/>
    <w:rsid w:val="135A567E"/>
    <w:rsid w:val="151C533E"/>
    <w:rsid w:val="15C93C15"/>
    <w:rsid w:val="16A6389D"/>
    <w:rsid w:val="16B466C4"/>
    <w:rsid w:val="16DF20ED"/>
    <w:rsid w:val="18731B9E"/>
    <w:rsid w:val="18F6650B"/>
    <w:rsid w:val="1B30457A"/>
    <w:rsid w:val="1C181BFE"/>
    <w:rsid w:val="1C2469CC"/>
    <w:rsid w:val="1DAC0269"/>
    <w:rsid w:val="1E541093"/>
    <w:rsid w:val="1EA72D26"/>
    <w:rsid w:val="1F212F73"/>
    <w:rsid w:val="1FAE5123"/>
    <w:rsid w:val="202B590F"/>
    <w:rsid w:val="20D36FF0"/>
    <w:rsid w:val="21CE56BF"/>
    <w:rsid w:val="24326B99"/>
    <w:rsid w:val="243D723F"/>
    <w:rsid w:val="269C7D34"/>
    <w:rsid w:val="29930359"/>
    <w:rsid w:val="2A9A5193"/>
    <w:rsid w:val="2E670C62"/>
    <w:rsid w:val="32656F65"/>
    <w:rsid w:val="329A626F"/>
    <w:rsid w:val="34755787"/>
    <w:rsid w:val="34B04439"/>
    <w:rsid w:val="389A41B8"/>
    <w:rsid w:val="3BAC625D"/>
    <w:rsid w:val="3E075CBD"/>
    <w:rsid w:val="3F395FDE"/>
    <w:rsid w:val="3F7D7318"/>
    <w:rsid w:val="40A845E1"/>
    <w:rsid w:val="41E1289F"/>
    <w:rsid w:val="42C37279"/>
    <w:rsid w:val="45531A3C"/>
    <w:rsid w:val="455A11F9"/>
    <w:rsid w:val="46FF660A"/>
    <w:rsid w:val="47564842"/>
    <w:rsid w:val="48932BA3"/>
    <w:rsid w:val="49D90A51"/>
    <w:rsid w:val="4A361983"/>
    <w:rsid w:val="4C2E492D"/>
    <w:rsid w:val="4DED0264"/>
    <w:rsid w:val="4E6818A9"/>
    <w:rsid w:val="4FC77AA9"/>
    <w:rsid w:val="50F1738B"/>
    <w:rsid w:val="550B5C5D"/>
    <w:rsid w:val="556A4FA6"/>
    <w:rsid w:val="5910302D"/>
    <w:rsid w:val="5AF33C18"/>
    <w:rsid w:val="5B0D1EB0"/>
    <w:rsid w:val="5D0D64D4"/>
    <w:rsid w:val="5DD72685"/>
    <w:rsid w:val="5F1F3968"/>
    <w:rsid w:val="61057CB6"/>
    <w:rsid w:val="61B70DA4"/>
    <w:rsid w:val="62A514DE"/>
    <w:rsid w:val="636A0DDD"/>
    <w:rsid w:val="63B92EE9"/>
    <w:rsid w:val="63DF2979"/>
    <w:rsid w:val="65554234"/>
    <w:rsid w:val="670F3CDA"/>
    <w:rsid w:val="68D959D0"/>
    <w:rsid w:val="6BFF22DA"/>
    <w:rsid w:val="6C2E6B5A"/>
    <w:rsid w:val="6D794115"/>
    <w:rsid w:val="6DB71F12"/>
    <w:rsid w:val="6DBB131B"/>
    <w:rsid w:val="6E763CEA"/>
    <w:rsid w:val="728E07B0"/>
    <w:rsid w:val="745D4922"/>
    <w:rsid w:val="755048AF"/>
    <w:rsid w:val="75B70CB9"/>
    <w:rsid w:val="77501831"/>
    <w:rsid w:val="782B019B"/>
    <w:rsid w:val="7A087B36"/>
    <w:rsid w:val="7ADE536B"/>
    <w:rsid w:val="7B0D5A57"/>
    <w:rsid w:val="7D9B6D80"/>
    <w:rsid w:val="7FF524DB"/>
  </w:rsids>
  <m:mathPr>
    <m:mathFont m:val="Cambria Math"/>
    <m:brkBin m:val="before"/>
    <m:brkBinSub m:val="--"/>
    <m:smallFrac m:val="0"/>
    <m:dispDef/>
    <m:lMargin m:val="0"/>
    <m:rMargin m:val="0"/>
    <m:defJc m:val="centerGroup"/>
    <m:wrapIndent m:val="1440"/>
    <m:intLim m:val="subSup"/>
    <m:naryLim m:val="undOvr"/>
  </m:mathPr>
  <w:themeFontLang w:val="en-US" w:eastAsia="zh-CN" w:bidi="k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30EBD093"/>
  <w15:docId w15:val="{2701B2A4-E6F7-4857-8AC6-114C5464F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qFormat/>
    <w:rPr>
      <w:b/>
      <w:bCs/>
    </w:rPr>
  </w:style>
  <w:style w:type="character" w:styleId="ad">
    <w:name w:val="line number"/>
    <w:basedOn w:val="a0"/>
    <w:uiPriority w:val="99"/>
    <w:semiHidden/>
    <w:unhideWhenUsed/>
    <w:qFormat/>
  </w:style>
  <w:style w:type="character" w:styleId="ae">
    <w:name w:val="annotation reference"/>
    <w:basedOn w:val="a0"/>
    <w:uiPriority w:val="99"/>
    <w:semiHidden/>
    <w:unhideWhenUsed/>
    <w:qFormat/>
    <w:rPr>
      <w:sz w:val="21"/>
      <w:szCs w:val="21"/>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paragraph" w:customStyle="1" w:styleId="Default">
    <w:name w:val="Default"/>
    <w:uiPriority w:val="99"/>
    <w:qFormat/>
    <w:pPr>
      <w:widowControl w:val="0"/>
      <w:autoSpaceDE w:val="0"/>
      <w:autoSpaceDN w:val="0"/>
      <w:adjustRightInd w:val="0"/>
    </w:pPr>
    <w:rPr>
      <w:rFonts w:ascii="Times New Roman" w:eastAsia="宋体" w:hAnsi="Times New Roman" w:cs="Times New Roman"/>
      <w:color w:val="000000"/>
      <w:sz w:val="24"/>
      <w:szCs w:val="24"/>
    </w:rPr>
  </w:style>
  <w:style w:type="character" w:customStyle="1" w:styleId="a6">
    <w:name w:val="批注框文本 字符"/>
    <w:basedOn w:val="a0"/>
    <w:link w:val="a5"/>
    <w:uiPriority w:val="99"/>
    <w:semiHidden/>
    <w:qFormat/>
    <w:rPr>
      <w:sz w:val="18"/>
      <w:szCs w:val="18"/>
    </w:rPr>
  </w:style>
  <w:style w:type="character" w:customStyle="1" w:styleId="a4">
    <w:name w:val="批注文字 字符"/>
    <w:basedOn w:val="a0"/>
    <w:link w:val="a3"/>
    <w:uiPriority w:val="99"/>
    <w:qFormat/>
  </w:style>
  <w:style w:type="character" w:customStyle="1" w:styleId="ac">
    <w:name w:val="批注主题 字符"/>
    <w:basedOn w:val="a4"/>
    <w:link w:val="ab"/>
    <w:uiPriority w:val="99"/>
    <w:semiHidden/>
    <w:qFormat/>
    <w:rPr>
      <w:b/>
      <w:bCs/>
    </w:rPr>
  </w:style>
  <w:style w:type="paragraph" w:styleId="af">
    <w:name w:val="No Spacing"/>
    <w:uiPriority w:val="1"/>
    <w:qFormat/>
    <w:pPr>
      <w:widowControl w:val="0"/>
      <w:jc w:val="both"/>
    </w:pPr>
    <w:rPr>
      <w:rFonts w:ascii="Times New Roman" w:eastAsia="宋体" w:hAnsi="Times New Roman" w:cs="Times New Roman"/>
      <w:kern w:val="2"/>
      <w:sz w:val="21"/>
      <w:szCs w:val="24"/>
    </w:rPr>
  </w:style>
  <w:style w:type="paragraph" w:customStyle="1" w:styleId="1">
    <w:name w:val="修订1"/>
    <w:hidden/>
    <w:uiPriority w:val="99"/>
    <w:semiHidden/>
    <w:qFormat/>
    <w:rPr>
      <w:kern w:val="2"/>
      <w:sz w:val="21"/>
      <w:szCs w:val="22"/>
    </w:rPr>
  </w:style>
  <w:style w:type="paragraph" w:customStyle="1" w:styleId="2">
    <w:name w:val="修订2"/>
    <w:hidden/>
    <w:uiPriority w:val="99"/>
    <w:unhideWhenUsed/>
    <w:qFormat/>
    <w:rPr>
      <w:kern w:val="2"/>
      <w:sz w:val="21"/>
      <w:szCs w:val="22"/>
    </w:rPr>
  </w:style>
  <w:style w:type="paragraph" w:customStyle="1" w:styleId="3">
    <w:name w:val="修订3"/>
    <w:hidden/>
    <w:uiPriority w:val="99"/>
    <w:semiHidden/>
    <w:qFormat/>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26</Pages>
  <Words>2174</Words>
  <Characters>12398</Characters>
  <Application>Microsoft Office Word</Application>
  <DocSecurity>0</DocSecurity>
  <Lines>103</Lines>
  <Paragraphs>29</Paragraphs>
  <ScaleCrop>false</ScaleCrop>
  <Company>神州网信技术有限公司</Company>
  <LinksUpToDate>false</LinksUpToDate>
  <CharactersWithSpaces>14543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办公室发文</cp:lastModifiedBy>
  <cp:revision>36</cp:revision>
  <dcterms:created xsi:type="dcterms:W3CDTF">2025-12-29T04:51:00Z</dcterms:created>
  <dcterms:modified xsi:type="dcterms:W3CDTF">2026-10-13T01:29:00Z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BF4171E0987C4A318D96F16E6F36D70E_13</vt:lpwstr>
  </property>
  <property fmtid="{D5CDD505-2E9C-101B-9397-08002B2CF9AE}" pid="4" name="KSOTemplateDocerSaveRecord">
    <vt:lpwstr>eyJoZGlkIjoiNGZjNDI1MDBhN2UxMmU5MDlmNjg4Y2RkZjgzNzBhMjEiLCJ1c2VySWQiOiI0MjY4ODE4MTQifQ==</vt:lpwstr>
  </property>
</Properties>
</file>