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00" w:lineRule="auto"/>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附件</w:t>
      </w:r>
      <w:r>
        <w:rPr>
          <w:rFonts w:hint="eastAsia" w:ascii="黑体" w:hAnsi="黑体" w:eastAsia="黑体" w:cs="Times New Roman"/>
          <w:sz w:val="32"/>
          <w:szCs w:val="32"/>
        </w:rPr>
        <w:t>2</w:t>
      </w:r>
    </w:p>
    <w:p>
      <w:pPr>
        <w:spacing w:before="156" w:beforeLines="50" w:after="156" w:afterLines="50" w:line="300" w:lineRule="auto"/>
        <w:jc w:val="center"/>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化妆品中大麻二酚等6种原料的检验方法</w:t>
      </w:r>
    </w:p>
    <w:p>
      <w:pPr>
        <w:spacing w:before="156" w:beforeLines="50" w:after="156" w:afterLines="50" w:line="300" w:lineRule="auto"/>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Determination of Cannabidiol and Other 5 Kinds of Ingredients in Cosmetics</w:t>
      </w:r>
    </w:p>
    <w:p>
      <w:pPr>
        <w:pStyle w:val="2"/>
        <w:snapToGrid w:val="0"/>
        <w:spacing w:before="156" w:beforeLines="50" w:after="156" w:afterLines="50" w:line="300" w:lineRule="auto"/>
        <w:jc w:val="both"/>
        <w:rPr>
          <w:rFonts w:eastAsia="黑体" w:cs="Times New Roman"/>
          <w:b w:val="0"/>
          <w:sz w:val="21"/>
          <w:szCs w:val="21"/>
        </w:rPr>
      </w:pPr>
      <w:r>
        <w:rPr>
          <w:rFonts w:eastAsia="黑体" w:cs="Times New Roman"/>
          <w:b w:val="0"/>
          <w:sz w:val="21"/>
          <w:szCs w:val="21"/>
        </w:rPr>
        <w:t>1</w:t>
      </w:r>
      <w:r>
        <w:rPr>
          <w:rFonts w:hint="eastAsia" w:eastAsia="黑体" w:cs="Times New Roman"/>
          <w:b w:val="0"/>
          <w:sz w:val="21"/>
          <w:szCs w:val="21"/>
        </w:rPr>
        <w:t xml:space="preserve">  </w:t>
      </w:r>
      <w:r>
        <w:rPr>
          <w:rFonts w:eastAsia="黑体" w:cs="Times New Roman"/>
          <w:b w:val="0"/>
          <w:sz w:val="21"/>
          <w:szCs w:val="21"/>
        </w:rPr>
        <w:t>范围</w:t>
      </w:r>
    </w:p>
    <w:p>
      <w:pPr>
        <w:snapToGrid w:val="0"/>
        <w:spacing w:line="30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本方法规定了化妆品中大麻二酚等</w:t>
      </w:r>
      <w:r>
        <w:rPr>
          <w:rFonts w:hint="eastAsia" w:ascii="Times New Roman" w:hAnsi="Times New Roman" w:eastAsia="宋体" w:cs="Times New Roman"/>
          <w:szCs w:val="21"/>
        </w:rPr>
        <w:t xml:space="preserve"> </w:t>
      </w:r>
      <w:r>
        <w:rPr>
          <w:rFonts w:ascii="Times New Roman" w:hAnsi="Times New Roman" w:eastAsia="宋体" w:cs="Times New Roman"/>
          <w:szCs w:val="21"/>
        </w:rPr>
        <w:t>6</w:t>
      </w:r>
      <w:r>
        <w:rPr>
          <w:rFonts w:hint="eastAsia" w:ascii="Times New Roman" w:hAnsi="Times New Roman" w:eastAsia="宋体" w:cs="Times New Roman"/>
          <w:szCs w:val="21"/>
        </w:rPr>
        <w:t xml:space="preserve"> </w:t>
      </w:r>
      <w:r>
        <w:rPr>
          <w:rFonts w:ascii="Times New Roman" w:hAnsi="Times New Roman" w:eastAsia="宋体" w:cs="Times New Roman"/>
          <w:szCs w:val="21"/>
        </w:rPr>
        <w:t>种原料的液相色谱-质谱联用法，包括定性筛查方法与定量测定方法。</w:t>
      </w:r>
    </w:p>
    <w:p>
      <w:pPr>
        <w:snapToGrid w:val="0"/>
        <w:spacing w:line="30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本方法适用于膏霜乳液类、液体（水、油）类、凝胶类、粉剂类、蜡基类等化妆品中大麻二酚等</w:t>
      </w:r>
      <w:r>
        <w:rPr>
          <w:rFonts w:hint="eastAsia" w:ascii="Times New Roman" w:hAnsi="Times New Roman" w:eastAsia="宋体" w:cs="Times New Roman"/>
          <w:szCs w:val="21"/>
        </w:rPr>
        <w:t xml:space="preserve"> </w:t>
      </w:r>
      <w:r>
        <w:rPr>
          <w:rFonts w:ascii="Times New Roman" w:hAnsi="Times New Roman" w:eastAsia="宋体" w:cs="Times New Roman"/>
          <w:szCs w:val="21"/>
        </w:rPr>
        <w:t>6</w:t>
      </w:r>
      <w:r>
        <w:rPr>
          <w:rFonts w:hint="eastAsia" w:ascii="Times New Roman" w:hAnsi="Times New Roman" w:eastAsia="宋体" w:cs="Times New Roman"/>
          <w:szCs w:val="21"/>
        </w:rPr>
        <w:t xml:space="preserve"> </w:t>
      </w:r>
      <w:r>
        <w:rPr>
          <w:rFonts w:ascii="Times New Roman" w:hAnsi="Times New Roman" w:eastAsia="宋体" w:cs="Times New Roman"/>
          <w:szCs w:val="21"/>
        </w:rPr>
        <w:t>种原料的定性筛查与定量测定。</w:t>
      </w:r>
    </w:p>
    <w:p>
      <w:pPr>
        <w:snapToGrid w:val="0"/>
        <w:spacing w:line="30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本方法所指的 6 种原料包括次</w:t>
      </w:r>
      <w:r>
        <w:rPr>
          <w:rFonts w:ascii="Times New Roman" w:hAnsi="Times New Roman" w:eastAsia="宋体" w:cs="Times New Roman"/>
          <w:szCs w:val="21"/>
        </w:rPr>
        <w:t>大麻二酚</w:t>
      </w:r>
      <w:r>
        <w:rPr>
          <w:rFonts w:hint="eastAsia" w:ascii="Times New Roman" w:hAnsi="Times New Roman" w:eastAsia="宋体" w:cs="Times New Roman"/>
          <w:szCs w:val="21"/>
        </w:rPr>
        <w:t>（</w:t>
      </w:r>
      <w:r>
        <w:rPr>
          <w:rFonts w:ascii="Times New Roman" w:hAnsi="Times New Roman" w:eastAsia="宋体" w:cs="Times New Roman"/>
          <w:szCs w:val="21"/>
        </w:rPr>
        <w:t>CBDV</w:t>
      </w:r>
      <w:r>
        <w:rPr>
          <w:rFonts w:hint="eastAsia" w:ascii="Times New Roman" w:hAnsi="Times New Roman" w:eastAsia="宋体" w:cs="Times New Roman"/>
          <w:szCs w:val="21"/>
        </w:rPr>
        <w:t>）</w:t>
      </w:r>
      <w:r>
        <w:rPr>
          <w:rFonts w:ascii="Times New Roman" w:hAnsi="Times New Roman" w:eastAsia="宋体" w:cs="Times New Roman"/>
          <w:szCs w:val="21"/>
        </w:rPr>
        <w:t>、大麻二酚</w:t>
      </w:r>
      <w:r>
        <w:rPr>
          <w:rFonts w:hint="eastAsia" w:ascii="Times New Roman" w:hAnsi="Times New Roman" w:eastAsia="宋体" w:cs="Times New Roman"/>
          <w:szCs w:val="21"/>
        </w:rPr>
        <w:t>（</w:t>
      </w:r>
      <w:r>
        <w:rPr>
          <w:rFonts w:ascii="Times New Roman" w:hAnsi="Times New Roman" w:eastAsia="宋体" w:cs="Times New Roman"/>
          <w:szCs w:val="21"/>
        </w:rPr>
        <w:t>CBD</w:t>
      </w:r>
      <w:r>
        <w:rPr>
          <w:rFonts w:hint="eastAsia" w:ascii="Times New Roman" w:hAnsi="Times New Roman" w:eastAsia="宋体" w:cs="Times New Roman"/>
          <w:szCs w:val="21"/>
        </w:rPr>
        <w:t>）</w:t>
      </w:r>
      <w:r>
        <w:rPr>
          <w:rFonts w:ascii="Times New Roman" w:hAnsi="Times New Roman" w:eastAsia="宋体" w:cs="Times New Roman"/>
          <w:szCs w:val="21"/>
        </w:rPr>
        <w:t>、大麻酚</w:t>
      </w:r>
      <w:r>
        <w:rPr>
          <w:rFonts w:hint="eastAsia" w:ascii="Times New Roman" w:hAnsi="Times New Roman" w:eastAsia="宋体" w:cs="Times New Roman"/>
          <w:szCs w:val="21"/>
        </w:rPr>
        <w:t>（</w:t>
      </w:r>
      <w:r>
        <w:rPr>
          <w:rFonts w:ascii="Times New Roman" w:hAnsi="Times New Roman" w:eastAsia="宋体" w:cs="Times New Roman"/>
          <w:szCs w:val="21"/>
        </w:rPr>
        <w:t>CBN</w:t>
      </w:r>
      <w:r>
        <w:rPr>
          <w:rFonts w:hint="eastAsia" w:ascii="Times New Roman" w:hAnsi="Times New Roman" w:eastAsia="宋体" w:cs="Times New Roman"/>
          <w:szCs w:val="21"/>
        </w:rPr>
        <w:t>）</w:t>
      </w:r>
      <w:r>
        <w:rPr>
          <w:rFonts w:ascii="Times New Roman" w:hAnsi="Times New Roman" w:eastAsia="宋体" w:cs="Times New Roman"/>
          <w:szCs w:val="21"/>
        </w:rPr>
        <w:t>、Δ</w:t>
      </w:r>
      <w:r>
        <w:rPr>
          <w:rFonts w:ascii="Times New Roman" w:hAnsi="Times New Roman" w:eastAsia="宋体" w:cs="Times New Roman"/>
          <w:szCs w:val="21"/>
          <w:vertAlign w:val="superscript"/>
        </w:rPr>
        <w:t>9</w:t>
      </w:r>
      <w:r>
        <w:rPr>
          <w:rFonts w:ascii="Times New Roman" w:hAnsi="Times New Roman" w:eastAsia="宋体" w:cs="Times New Roman"/>
          <w:szCs w:val="21"/>
        </w:rPr>
        <w:t>-四氢大麻酚</w:t>
      </w:r>
      <w:r>
        <w:rPr>
          <w:rFonts w:hint="eastAsia" w:ascii="Times New Roman" w:hAnsi="Times New Roman" w:eastAsia="宋体" w:cs="Times New Roman"/>
          <w:szCs w:val="21"/>
        </w:rPr>
        <w:t>（</w:t>
      </w:r>
      <w:r>
        <w:rPr>
          <w:rFonts w:ascii="Times New Roman" w:hAnsi="Times New Roman" w:eastAsia="宋体" w:cs="Times New Roman"/>
          <w:szCs w:val="21"/>
        </w:rPr>
        <w:t>THC</w:t>
      </w:r>
      <w:r>
        <w:rPr>
          <w:rFonts w:hint="eastAsia" w:ascii="Times New Roman" w:hAnsi="Times New Roman" w:eastAsia="宋体" w:cs="Times New Roman"/>
          <w:szCs w:val="21"/>
        </w:rPr>
        <w:t>）</w:t>
      </w:r>
      <w:r>
        <w:rPr>
          <w:rFonts w:ascii="Times New Roman" w:hAnsi="Times New Roman" w:eastAsia="宋体" w:cs="Times New Roman"/>
          <w:szCs w:val="21"/>
        </w:rPr>
        <w:t>、大麻二酚酸</w:t>
      </w:r>
      <w:r>
        <w:rPr>
          <w:rFonts w:hint="eastAsia" w:ascii="Times New Roman" w:hAnsi="Times New Roman" w:eastAsia="宋体" w:cs="Times New Roman"/>
          <w:szCs w:val="21"/>
        </w:rPr>
        <w:t>（</w:t>
      </w:r>
      <w:r>
        <w:rPr>
          <w:rFonts w:ascii="Times New Roman" w:hAnsi="Times New Roman" w:eastAsia="宋体" w:cs="Times New Roman"/>
          <w:szCs w:val="21"/>
        </w:rPr>
        <w:t>CBDA</w:t>
      </w:r>
      <w:r>
        <w:rPr>
          <w:rFonts w:hint="eastAsia" w:ascii="Times New Roman" w:hAnsi="Times New Roman" w:eastAsia="宋体" w:cs="Times New Roman"/>
          <w:szCs w:val="21"/>
        </w:rPr>
        <w:t>）</w:t>
      </w:r>
      <w:r>
        <w:rPr>
          <w:rFonts w:ascii="Times New Roman" w:hAnsi="Times New Roman" w:eastAsia="宋体" w:cs="Times New Roman"/>
          <w:szCs w:val="21"/>
        </w:rPr>
        <w:t>、四氢大麻酸</w:t>
      </w:r>
      <w:r>
        <w:rPr>
          <w:rFonts w:hint="eastAsia" w:ascii="Times New Roman" w:hAnsi="Times New Roman" w:eastAsia="宋体" w:cs="Times New Roman"/>
          <w:szCs w:val="21"/>
        </w:rPr>
        <w:t>（</w:t>
      </w:r>
      <w:r>
        <w:rPr>
          <w:rFonts w:ascii="Times New Roman" w:hAnsi="Times New Roman" w:eastAsia="宋体" w:cs="Times New Roman"/>
          <w:szCs w:val="21"/>
        </w:rPr>
        <w:t>THCA</w:t>
      </w:r>
      <w:r>
        <w:rPr>
          <w:rFonts w:hint="eastAsia" w:ascii="Times New Roman" w:hAnsi="Times New Roman" w:eastAsia="宋体" w:cs="Times New Roman"/>
          <w:szCs w:val="21"/>
        </w:rPr>
        <w:t>）。</w:t>
      </w:r>
    </w:p>
    <w:p>
      <w:pPr>
        <w:pStyle w:val="2"/>
        <w:snapToGrid w:val="0"/>
        <w:spacing w:before="156" w:beforeLines="50" w:after="156" w:afterLines="50" w:line="300" w:lineRule="auto"/>
        <w:jc w:val="both"/>
        <w:rPr>
          <w:rFonts w:eastAsia="黑体" w:cs="Times New Roman"/>
          <w:b w:val="0"/>
          <w:sz w:val="21"/>
          <w:szCs w:val="21"/>
        </w:rPr>
      </w:pPr>
      <w:r>
        <w:rPr>
          <w:rFonts w:eastAsia="黑体" w:cs="Times New Roman"/>
          <w:b w:val="0"/>
          <w:sz w:val="21"/>
          <w:szCs w:val="21"/>
        </w:rPr>
        <w:t>2</w:t>
      </w:r>
      <w:r>
        <w:rPr>
          <w:rFonts w:hint="eastAsia" w:eastAsia="黑体" w:cs="Times New Roman"/>
          <w:b w:val="0"/>
          <w:sz w:val="21"/>
          <w:szCs w:val="21"/>
        </w:rPr>
        <w:t xml:space="preserve">  </w:t>
      </w:r>
      <w:r>
        <w:rPr>
          <w:rFonts w:eastAsia="黑体" w:cs="Times New Roman"/>
          <w:b w:val="0"/>
          <w:sz w:val="21"/>
          <w:szCs w:val="21"/>
        </w:rPr>
        <w:t>方法提要</w:t>
      </w:r>
    </w:p>
    <w:p>
      <w:pPr>
        <w:snapToGrid w:val="0"/>
        <w:spacing w:line="30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本方法以乙腈为溶剂提取样品中大麻二酚等</w:t>
      </w:r>
      <w:r>
        <w:rPr>
          <w:rFonts w:hint="eastAsia" w:ascii="Times New Roman" w:hAnsi="Times New Roman" w:eastAsia="宋体" w:cs="Times New Roman"/>
          <w:szCs w:val="21"/>
        </w:rPr>
        <w:t xml:space="preserve"> </w:t>
      </w:r>
      <w:r>
        <w:rPr>
          <w:rFonts w:ascii="Times New Roman" w:hAnsi="Times New Roman" w:eastAsia="宋体" w:cs="Times New Roman"/>
          <w:szCs w:val="21"/>
        </w:rPr>
        <w:t>6</w:t>
      </w:r>
      <w:r>
        <w:rPr>
          <w:rFonts w:hint="eastAsia" w:ascii="Times New Roman" w:hAnsi="Times New Roman" w:eastAsia="宋体" w:cs="Times New Roman"/>
          <w:szCs w:val="21"/>
        </w:rPr>
        <w:t xml:space="preserve"> </w:t>
      </w:r>
      <w:r>
        <w:rPr>
          <w:rFonts w:ascii="Times New Roman" w:hAnsi="Times New Roman" w:eastAsia="宋体" w:cs="Times New Roman"/>
          <w:szCs w:val="21"/>
        </w:rPr>
        <w:t>种原料，采用高效液相色谱仪分离，质谱检测器检测，根据保留时间和特征离子对的相对丰度比定性，定量离子对峰面积定量，以标准曲线法计算含量。</w:t>
      </w:r>
    </w:p>
    <w:p>
      <w:pPr>
        <w:snapToGrid w:val="0"/>
        <w:spacing w:line="30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本方法大麻二酚等</w:t>
      </w:r>
      <w:r>
        <w:rPr>
          <w:rFonts w:hint="eastAsia" w:ascii="Times New Roman" w:hAnsi="Times New Roman" w:eastAsia="宋体" w:cs="Times New Roman"/>
          <w:szCs w:val="21"/>
        </w:rPr>
        <w:t xml:space="preserve"> </w:t>
      </w:r>
      <w:r>
        <w:rPr>
          <w:rFonts w:ascii="Times New Roman" w:hAnsi="Times New Roman" w:eastAsia="宋体" w:cs="Times New Roman"/>
          <w:szCs w:val="21"/>
        </w:rPr>
        <w:t>6</w:t>
      </w:r>
      <w:r>
        <w:rPr>
          <w:rFonts w:hint="eastAsia" w:ascii="Times New Roman" w:hAnsi="Times New Roman" w:eastAsia="宋体" w:cs="Times New Roman"/>
          <w:szCs w:val="21"/>
        </w:rPr>
        <w:t xml:space="preserve"> </w:t>
      </w:r>
      <w:r>
        <w:rPr>
          <w:rFonts w:ascii="Times New Roman" w:hAnsi="Times New Roman" w:eastAsia="宋体" w:cs="Times New Roman"/>
          <w:szCs w:val="21"/>
        </w:rPr>
        <w:t>种原料的检出限均为</w:t>
      </w:r>
      <w:r>
        <w:rPr>
          <w:rFonts w:hint="eastAsia" w:ascii="Times New Roman" w:hAnsi="Times New Roman" w:eastAsia="宋体" w:cs="Times New Roman"/>
          <w:szCs w:val="21"/>
        </w:rPr>
        <w:t xml:space="preserve"> 0.001ng</w:t>
      </w:r>
      <w:r>
        <w:rPr>
          <w:rFonts w:ascii="Times New Roman" w:hAnsi="Times New Roman" w:eastAsia="宋体" w:cs="Times New Roman"/>
          <w:szCs w:val="21"/>
        </w:rPr>
        <w:t>，定量下限均为</w:t>
      </w:r>
      <w:r>
        <w:rPr>
          <w:rFonts w:hint="eastAsia" w:ascii="Times New Roman" w:hAnsi="Times New Roman" w:eastAsia="宋体" w:cs="Times New Roman"/>
          <w:szCs w:val="21"/>
        </w:rPr>
        <w:t xml:space="preserve"> 0.002ng。</w:t>
      </w:r>
      <w:r>
        <w:rPr>
          <w:rFonts w:ascii="Times New Roman" w:hAnsi="Times New Roman" w:eastAsia="宋体" w:cs="Times New Roman"/>
          <w:szCs w:val="21"/>
        </w:rPr>
        <w:t>取样量为</w:t>
      </w:r>
      <w:r>
        <w:rPr>
          <w:rFonts w:hint="eastAsia" w:ascii="Times New Roman" w:hAnsi="Times New Roman" w:eastAsia="宋体" w:cs="Times New Roman"/>
          <w:szCs w:val="21"/>
        </w:rPr>
        <w:t xml:space="preserve"> </w:t>
      </w:r>
      <w:r>
        <w:rPr>
          <w:rFonts w:ascii="Times New Roman" w:hAnsi="Times New Roman" w:eastAsia="宋体" w:cs="Times New Roman"/>
          <w:szCs w:val="21"/>
        </w:rPr>
        <w:t>0.2 g时，检出浓度均为</w:t>
      </w:r>
      <w:r>
        <w:rPr>
          <w:rFonts w:hint="eastAsia" w:ascii="Times New Roman" w:hAnsi="Times New Roman" w:eastAsia="宋体" w:cs="Times New Roman"/>
          <w:szCs w:val="21"/>
        </w:rPr>
        <w:t xml:space="preserve"> </w:t>
      </w:r>
      <w:r>
        <w:rPr>
          <w:rFonts w:ascii="Times New Roman" w:hAnsi="Times New Roman" w:eastAsia="宋体" w:cs="Times New Roman"/>
          <w:szCs w:val="21"/>
        </w:rPr>
        <w:t>0.</w:t>
      </w:r>
      <w:r>
        <w:rPr>
          <w:rFonts w:hint="eastAsia" w:ascii="Times New Roman" w:hAnsi="Times New Roman" w:eastAsia="宋体" w:cs="Times New Roman"/>
          <w:szCs w:val="21"/>
        </w:rPr>
        <w:t>0</w:t>
      </w:r>
      <w:r>
        <w:rPr>
          <w:rFonts w:ascii="Times New Roman" w:hAnsi="Times New Roman" w:eastAsia="宋体" w:cs="Times New Roman"/>
          <w:szCs w:val="21"/>
        </w:rPr>
        <w:t>25</w:t>
      </w:r>
      <w:r>
        <w:rPr>
          <w:rFonts w:hint="eastAsia" w:ascii="Times New Roman" w:hAnsi="Times New Roman" w:eastAsia="宋体" w:cs="Times New Roman"/>
          <w:szCs w:val="21"/>
        </w:rPr>
        <w:t xml:space="preserve"> </w:t>
      </w:r>
      <w:r>
        <w:rPr>
          <w:rFonts w:ascii="Times New Roman" w:hAnsi="Times New Roman" w:eastAsia="宋体" w:cs="Times New Roman"/>
          <w:szCs w:val="21"/>
        </w:rPr>
        <w:t>μg/g，最低定量</w:t>
      </w:r>
      <w:r>
        <w:rPr>
          <w:rFonts w:hint="eastAsia" w:ascii="Times New Roman" w:hAnsi="Times New Roman" w:eastAsia="宋体" w:cs="Times New Roman"/>
          <w:szCs w:val="21"/>
        </w:rPr>
        <w:t>浓度</w:t>
      </w:r>
      <w:r>
        <w:rPr>
          <w:rFonts w:ascii="Times New Roman" w:hAnsi="Times New Roman" w:eastAsia="宋体" w:cs="Times New Roman"/>
          <w:szCs w:val="21"/>
        </w:rPr>
        <w:t>均为</w:t>
      </w:r>
      <w:r>
        <w:rPr>
          <w:rFonts w:hint="eastAsia" w:ascii="Times New Roman" w:hAnsi="Times New Roman" w:eastAsia="宋体" w:cs="Times New Roman"/>
          <w:szCs w:val="21"/>
        </w:rPr>
        <w:t xml:space="preserve"> </w:t>
      </w:r>
      <w:r>
        <w:rPr>
          <w:rFonts w:ascii="Times New Roman" w:hAnsi="Times New Roman" w:eastAsia="宋体" w:cs="Times New Roman"/>
          <w:szCs w:val="21"/>
        </w:rPr>
        <w:t>0.</w:t>
      </w:r>
      <w:r>
        <w:rPr>
          <w:rFonts w:hint="eastAsia" w:ascii="Times New Roman" w:hAnsi="Times New Roman" w:eastAsia="宋体" w:cs="Times New Roman"/>
          <w:szCs w:val="21"/>
        </w:rPr>
        <w:t xml:space="preserve">050 </w:t>
      </w:r>
      <w:r>
        <w:rPr>
          <w:rFonts w:ascii="Times New Roman" w:hAnsi="Times New Roman" w:eastAsia="宋体" w:cs="Times New Roman"/>
          <w:szCs w:val="21"/>
        </w:rPr>
        <w:t>μg/g。</w:t>
      </w:r>
    </w:p>
    <w:p>
      <w:pPr>
        <w:pStyle w:val="2"/>
        <w:snapToGrid w:val="0"/>
        <w:spacing w:before="156" w:beforeLines="50" w:after="156" w:afterLines="50" w:line="300" w:lineRule="auto"/>
        <w:jc w:val="both"/>
        <w:rPr>
          <w:rFonts w:eastAsia="黑体" w:cs="Times New Roman"/>
          <w:b w:val="0"/>
          <w:sz w:val="21"/>
          <w:szCs w:val="21"/>
        </w:rPr>
      </w:pPr>
      <w:r>
        <w:rPr>
          <w:rFonts w:eastAsia="黑体" w:cs="Times New Roman"/>
          <w:b w:val="0"/>
          <w:sz w:val="21"/>
          <w:szCs w:val="21"/>
        </w:rPr>
        <w:t>3</w:t>
      </w:r>
      <w:r>
        <w:rPr>
          <w:rFonts w:hint="eastAsia" w:eastAsia="黑体" w:cs="Times New Roman"/>
          <w:b w:val="0"/>
          <w:sz w:val="21"/>
          <w:szCs w:val="21"/>
        </w:rPr>
        <w:t xml:space="preserve">  </w:t>
      </w:r>
      <w:r>
        <w:rPr>
          <w:rFonts w:eastAsia="黑体" w:cs="Times New Roman"/>
          <w:b w:val="0"/>
          <w:sz w:val="21"/>
          <w:szCs w:val="21"/>
        </w:rPr>
        <w:t>试剂和材料</w:t>
      </w:r>
    </w:p>
    <w:p>
      <w:pPr>
        <w:snapToGrid w:val="0"/>
        <w:spacing w:line="30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除另有规定外，本方法所用试剂均为分析纯或以上规格，水为 GB/T 6682 规定的一级水。</w:t>
      </w:r>
    </w:p>
    <w:p>
      <w:pPr>
        <w:snapToGrid w:val="0"/>
        <w:spacing w:before="156" w:beforeLines="50" w:after="156" w:afterLines="50" w:line="300" w:lineRule="auto"/>
        <w:rPr>
          <w:rFonts w:ascii="Times New Roman" w:hAnsi="Times New Roman" w:eastAsia="宋体" w:cs="Times New Roman"/>
          <w:szCs w:val="21"/>
        </w:rPr>
      </w:pPr>
      <w:r>
        <w:rPr>
          <w:rFonts w:ascii="Times New Roman" w:hAnsi="Times New Roman" w:eastAsia="宋体" w:cs="Times New Roman"/>
          <w:szCs w:val="21"/>
        </w:rPr>
        <w:t>3.1</w:t>
      </w:r>
      <w:r>
        <w:rPr>
          <w:rFonts w:hint="eastAsia" w:ascii="Times New Roman" w:hAnsi="Times New Roman" w:eastAsia="宋体" w:cs="Times New Roman"/>
          <w:szCs w:val="21"/>
        </w:rPr>
        <w:t xml:space="preserve">  </w:t>
      </w:r>
      <w:r>
        <w:rPr>
          <w:rFonts w:ascii="Times New Roman" w:hAnsi="Times New Roman" w:eastAsia="宋体" w:cs="Times New Roman"/>
          <w:szCs w:val="21"/>
        </w:rPr>
        <w:t>乙腈</w:t>
      </w:r>
      <w:r>
        <w:rPr>
          <w:rFonts w:hint="eastAsia" w:ascii="Times New Roman" w:hAnsi="Times New Roman" w:eastAsia="宋体" w:cs="Times New Roman"/>
          <w:szCs w:val="21"/>
        </w:rPr>
        <w:t>，</w:t>
      </w:r>
      <w:r>
        <w:rPr>
          <w:rFonts w:ascii="Times New Roman" w:hAnsi="Times New Roman" w:eastAsia="宋体" w:cs="Times New Roman"/>
          <w:szCs w:val="21"/>
        </w:rPr>
        <w:t>色谱纯。</w:t>
      </w:r>
    </w:p>
    <w:p>
      <w:pPr>
        <w:snapToGrid w:val="0"/>
        <w:spacing w:before="156" w:beforeLines="50" w:after="156" w:afterLines="50" w:line="300" w:lineRule="auto"/>
        <w:rPr>
          <w:rFonts w:ascii="Times New Roman" w:hAnsi="Times New Roman" w:eastAsia="宋体" w:cs="Times New Roman"/>
          <w:szCs w:val="21"/>
        </w:rPr>
      </w:pPr>
      <w:r>
        <w:rPr>
          <w:rFonts w:ascii="Times New Roman" w:hAnsi="Times New Roman" w:eastAsia="宋体" w:cs="Times New Roman"/>
          <w:szCs w:val="21"/>
        </w:rPr>
        <w:t>3.2</w:t>
      </w:r>
      <w:r>
        <w:rPr>
          <w:rFonts w:hint="eastAsia" w:ascii="Times New Roman" w:hAnsi="Times New Roman" w:eastAsia="宋体" w:cs="Times New Roman"/>
          <w:szCs w:val="21"/>
        </w:rPr>
        <w:t xml:space="preserve">  </w:t>
      </w:r>
      <w:r>
        <w:rPr>
          <w:rFonts w:ascii="Times New Roman" w:hAnsi="Times New Roman" w:eastAsia="宋体" w:cs="Times New Roman"/>
          <w:szCs w:val="21"/>
        </w:rPr>
        <w:t>甲醇</w:t>
      </w:r>
      <w:r>
        <w:rPr>
          <w:rFonts w:hint="eastAsia" w:ascii="Times New Roman" w:hAnsi="Times New Roman" w:eastAsia="宋体" w:cs="Times New Roman"/>
          <w:szCs w:val="21"/>
        </w:rPr>
        <w:t>，</w:t>
      </w:r>
      <w:r>
        <w:rPr>
          <w:rFonts w:ascii="Times New Roman" w:hAnsi="Times New Roman" w:eastAsia="宋体" w:cs="Times New Roman"/>
          <w:szCs w:val="21"/>
        </w:rPr>
        <w:t>色谱纯。</w:t>
      </w:r>
    </w:p>
    <w:p>
      <w:pPr>
        <w:snapToGrid w:val="0"/>
        <w:spacing w:before="156" w:beforeLines="50" w:after="156" w:afterLines="50" w:line="300" w:lineRule="auto"/>
        <w:rPr>
          <w:rFonts w:ascii="Times New Roman" w:hAnsi="Times New Roman" w:eastAsia="宋体" w:cs="Times New Roman"/>
          <w:szCs w:val="21"/>
        </w:rPr>
      </w:pPr>
      <w:r>
        <w:rPr>
          <w:rFonts w:ascii="Times New Roman" w:hAnsi="Times New Roman" w:eastAsia="宋体" w:cs="Times New Roman"/>
          <w:szCs w:val="21"/>
        </w:rPr>
        <w:t>3.</w:t>
      </w:r>
      <w:r>
        <w:rPr>
          <w:rFonts w:hint="eastAsia" w:ascii="Times New Roman" w:hAnsi="Times New Roman" w:eastAsia="宋体" w:cs="Times New Roman"/>
          <w:szCs w:val="21"/>
        </w:rPr>
        <w:t xml:space="preserve">3  </w:t>
      </w:r>
      <w:r>
        <w:rPr>
          <w:rFonts w:ascii="Times New Roman" w:hAnsi="Times New Roman" w:eastAsia="宋体" w:cs="Times New Roman"/>
          <w:szCs w:val="21"/>
        </w:rPr>
        <w:t>甲</w:t>
      </w:r>
      <w:r>
        <w:rPr>
          <w:rFonts w:hint="eastAsia" w:ascii="Times New Roman" w:hAnsi="Times New Roman" w:eastAsia="宋体" w:cs="Times New Roman"/>
          <w:szCs w:val="21"/>
        </w:rPr>
        <w:t>酸，</w:t>
      </w:r>
      <w:r>
        <w:rPr>
          <w:rFonts w:ascii="Times New Roman" w:hAnsi="Times New Roman" w:eastAsia="宋体" w:cs="Times New Roman"/>
          <w:szCs w:val="21"/>
        </w:rPr>
        <w:t>色谱纯。</w:t>
      </w:r>
    </w:p>
    <w:p>
      <w:pPr>
        <w:snapToGrid w:val="0"/>
        <w:spacing w:before="156" w:beforeLines="50" w:after="156" w:afterLines="50" w:line="300" w:lineRule="auto"/>
        <w:rPr>
          <w:rFonts w:ascii="Times New Roman" w:hAnsi="Times New Roman" w:eastAsia="宋体" w:cs="Times New Roman"/>
          <w:szCs w:val="21"/>
        </w:rPr>
      </w:pPr>
      <w:r>
        <w:rPr>
          <w:rFonts w:ascii="Times New Roman" w:hAnsi="Times New Roman" w:eastAsia="宋体" w:cs="Times New Roman"/>
          <w:szCs w:val="21"/>
        </w:rPr>
        <w:t>3.</w:t>
      </w:r>
      <w:r>
        <w:rPr>
          <w:rFonts w:hint="eastAsia" w:ascii="Times New Roman" w:hAnsi="Times New Roman" w:eastAsia="宋体" w:cs="Times New Roman"/>
          <w:szCs w:val="21"/>
        </w:rPr>
        <w:t xml:space="preserve">4  </w:t>
      </w:r>
      <w:r>
        <w:rPr>
          <w:rFonts w:ascii="Times New Roman" w:hAnsi="Times New Roman" w:eastAsia="宋体" w:cs="Times New Roman"/>
          <w:szCs w:val="21"/>
        </w:rPr>
        <w:t>石油醚（30</w:t>
      </w:r>
      <w:r>
        <w:rPr>
          <w:rFonts w:hint="eastAsia" w:ascii="Times New Roman" w:hAnsi="Times New Roman" w:eastAsia="宋体" w:cs="Times New Roman"/>
          <w:szCs w:val="21"/>
        </w:rPr>
        <w:t xml:space="preserve"> </w:t>
      </w:r>
      <w:r>
        <w:rPr>
          <w:rFonts w:ascii="Times New Roman" w:hAnsi="Times New Roman" w:eastAsia="宋体" w:cs="Times New Roman"/>
          <w:szCs w:val="21"/>
        </w:rPr>
        <w:t>~</w:t>
      </w:r>
      <w:r>
        <w:rPr>
          <w:rFonts w:hint="eastAsia" w:ascii="Times New Roman" w:hAnsi="Times New Roman" w:eastAsia="宋体" w:cs="Times New Roman"/>
          <w:szCs w:val="21"/>
        </w:rPr>
        <w:t xml:space="preserve"> </w:t>
      </w:r>
      <w:r>
        <w:rPr>
          <w:rFonts w:ascii="Times New Roman" w:hAnsi="Times New Roman" w:eastAsia="宋体" w:cs="Times New Roman"/>
          <w:szCs w:val="21"/>
        </w:rPr>
        <w:t>60℃）</w:t>
      </w:r>
      <w:r>
        <w:rPr>
          <w:rFonts w:hint="eastAsia" w:ascii="Times New Roman" w:hAnsi="Times New Roman" w:eastAsia="宋体" w:cs="Times New Roman"/>
          <w:szCs w:val="21"/>
        </w:rPr>
        <w:t>，</w:t>
      </w:r>
      <w:r>
        <w:rPr>
          <w:rFonts w:ascii="Times New Roman" w:hAnsi="Times New Roman" w:eastAsia="宋体" w:cs="Times New Roman"/>
          <w:szCs w:val="21"/>
        </w:rPr>
        <w:t>分析纯。</w:t>
      </w:r>
    </w:p>
    <w:p>
      <w:pPr>
        <w:snapToGrid w:val="0"/>
        <w:spacing w:before="156" w:beforeLines="50" w:after="156" w:afterLines="50" w:line="300" w:lineRule="auto"/>
        <w:rPr>
          <w:rFonts w:ascii="Times New Roman" w:hAnsi="Times New Roman" w:eastAsia="宋体" w:cs="Times New Roman"/>
          <w:szCs w:val="21"/>
        </w:rPr>
      </w:pPr>
      <w:r>
        <w:rPr>
          <w:rFonts w:ascii="Times New Roman" w:hAnsi="Times New Roman" w:eastAsia="宋体" w:cs="Times New Roman"/>
          <w:szCs w:val="21"/>
        </w:rPr>
        <w:t>3.</w:t>
      </w:r>
      <w:r>
        <w:rPr>
          <w:rFonts w:hint="eastAsia" w:ascii="Times New Roman" w:hAnsi="Times New Roman" w:eastAsia="宋体" w:cs="Times New Roman"/>
          <w:szCs w:val="21"/>
        </w:rPr>
        <w:t xml:space="preserve">5  </w:t>
      </w:r>
      <w:r>
        <w:rPr>
          <w:rFonts w:ascii="Times New Roman" w:hAnsi="Times New Roman" w:eastAsia="宋体" w:cs="Times New Roman"/>
          <w:szCs w:val="21"/>
        </w:rPr>
        <w:t>甲酸铵</w:t>
      </w:r>
      <w:r>
        <w:rPr>
          <w:rFonts w:hint="eastAsia" w:ascii="Times New Roman" w:hAnsi="Times New Roman" w:eastAsia="宋体" w:cs="Times New Roman"/>
          <w:szCs w:val="21"/>
        </w:rPr>
        <w:t>，</w:t>
      </w:r>
      <w:r>
        <w:rPr>
          <w:rFonts w:ascii="Times New Roman" w:hAnsi="Times New Roman" w:eastAsia="宋体" w:cs="Times New Roman"/>
          <w:szCs w:val="21"/>
        </w:rPr>
        <w:t>色谱纯。</w:t>
      </w:r>
    </w:p>
    <w:p>
      <w:pPr>
        <w:snapToGrid w:val="0"/>
        <w:spacing w:before="156" w:beforeLines="50" w:after="156" w:afterLines="50" w:line="300" w:lineRule="auto"/>
        <w:rPr>
          <w:rFonts w:ascii="Times New Roman" w:hAnsi="Times New Roman" w:eastAsia="宋体" w:cs="Times New Roman"/>
          <w:szCs w:val="21"/>
        </w:rPr>
      </w:pPr>
      <w:r>
        <w:rPr>
          <w:rFonts w:ascii="Times New Roman" w:hAnsi="Times New Roman" w:eastAsia="宋体" w:cs="Times New Roman"/>
          <w:szCs w:val="21"/>
        </w:rPr>
        <w:t>3.</w:t>
      </w:r>
      <w:r>
        <w:rPr>
          <w:rFonts w:hint="eastAsia" w:ascii="Times New Roman" w:hAnsi="Times New Roman" w:eastAsia="宋体" w:cs="Times New Roman"/>
          <w:szCs w:val="21"/>
        </w:rPr>
        <w:t>6</w:t>
      </w:r>
      <w:r>
        <w:rPr>
          <w:rFonts w:ascii="Times New Roman" w:hAnsi="Times New Roman" w:eastAsia="宋体" w:cs="Times New Roman"/>
          <w:szCs w:val="21"/>
        </w:rPr>
        <w:t xml:space="preserve">  硅镁型吸附剂（60</w:t>
      </w:r>
      <w:r>
        <w:rPr>
          <w:rFonts w:hint="eastAsia" w:ascii="Times New Roman" w:hAnsi="Times New Roman" w:eastAsia="宋体" w:cs="Times New Roman"/>
          <w:szCs w:val="21"/>
        </w:rPr>
        <w:t xml:space="preserve"> </w:t>
      </w:r>
      <w:r>
        <w:rPr>
          <w:rFonts w:ascii="Times New Roman" w:hAnsi="Times New Roman" w:eastAsia="宋体" w:cs="Times New Roman"/>
          <w:szCs w:val="21"/>
        </w:rPr>
        <w:t>~</w:t>
      </w:r>
      <w:r>
        <w:rPr>
          <w:rFonts w:hint="eastAsia" w:ascii="Times New Roman" w:hAnsi="Times New Roman" w:eastAsia="宋体" w:cs="Times New Roman"/>
          <w:szCs w:val="21"/>
        </w:rPr>
        <w:t xml:space="preserve"> </w:t>
      </w:r>
      <w:r>
        <w:rPr>
          <w:rFonts w:ascii="Times New Roman" w:hAnsi="Times New Roman" w:eastAsia="宋体" w:cs="Times New Roman"/>
          <w:szCs w:val="21"/>
        </w:rPr>
        <w:t>100目）。</w:t>
      </w:r>
    </w:p>
    <w:p>
      <w:pPr>
        <w:snapToGrid w:val="0"/>
        <w:spacing w:before="156" w:beforeLines="50" w:after="156" w:afterLines="50" w:line="300" w:lineRule="auto"/>
        <w:rPr>
          <w:rFonts w:ascii="Times New Roman" w:hAnsi="Times New Roman" w:eastAsia="宋体" w:cs="Times New Roman"/>
          <w:szCs w:val="21"/>
        </w:rPr>
      </w:pPr>
      <w:r>
        <w:rPr>
          <w:rFonts w:ascii="Times New Roman" w:hAnsi="Times New Roman" w:eastAsia="宋体" w:cs="Times New Roman"/>
          <w:szCs w:val="21"/>
        </w:rPr>
        <w:t>3.</w:t>
      </w:r>
      <w:r>
        <w:rPr>
          <w:rFonts w:hint="eastAsia" w:ascii="Times New Roman" w:hAnsi="Times New Roman" w:eastAsia="宋体" w:cs="Times New Roman"/>
          <w:szCs w:val="21"/>
        </w:rPr>
        <w:t xml:space="preserve">7  </w:t>
      </w:r>
      <w:r>
        <w:rPr>
          <w:rFonts w:ascii="Times New Roman" w:hAnsi="Times New Roman" w:eastAsia="宋体" w:cs="Times New Roman"/>
          <w:szCs w:val="21"/>
        </w:rPr>
        <w:t>5 mmol/L甲酸铵溶液（含0.1%甲酸）：</w:t>
      </w:r>
      <w:r>
        <w:rPr>
          <w:rFonts w:hint="eastAsia" w:ascii="Times New Roman" w:hAnsi="Times New Roman" w:eastAsia="宋体" w:cs="Times New Roman"/>
          <w:szCs w:val="21"/>
        </w:rPr>
        <w:t xml:space="preserve">称取甲酸铵（3.5） 0.32 g，加水 1000 mL溶解后，加入 1.0 mL甲酸（3.3），混匀，过 0.22 </w:t>
      </w:r>
      <w:r>
        <w:rPr>
          <w:rFonts w:ascii="Times New Roman" w:hAnsi="Times New Roman" w:eastAsia="宋体" w:cs="Times New Roman"/>
          <w:szCs w:val="21"/>
        </w:rPr>
        <w:t>μ</w:t>
      </w:r>
      <w:r>
        <w:rPr>
          <w:rFonts w:hint="eastAsia" w:ascii="Times New Roman" w:hAnsi="Times New Roman" w:eastAsia="宋体" w:cs="Times New Roman"/>
          <w:szCs w:val="21"/>
        </w:rPr>
        <w:t>m微孔滤膜</w:t>
      </w:r>
      <w:r>
        <w:rPr>
          <w:rFonts w:ascii="Times New Roman" w:hAnsi="Times New Roman" w:eastAsia="宋体" w:cs="Times New Roman"/>
          <w:szCs w:val="21"/>
        </w:rPr>
        <w:t>。</w:t>
      </w:r>
    </w:p>
    <w:p>
      <w:pPr>
        <w:snapToGrid w:val="0"/>
        <w:spacing w:before="156" w:beforeLines="50" w:after="156" w:afterLines="50" w:line="300" w:lineRule="auto"/>
        <w:rPr>
          <w:rFonts w:ascii="Times New Roman" w:hAnsi="Times New Roman" w:eastAsia="宋体" w:cs="Times New Roman"/>
          <w:szCs w:val="21"/>
        </w:rPr>
      </w:pPr>
      <w:r>
        <w:rPr>
          <w:rFonts w:ascii="Times New Roman" w:hAnsi="Times New Roman" w:eastAsia="宋体" w:cs="Times New Roman"/>
          <w:szCs w:val="21"/>
        </w:rPr>
        <w:t>3.</w:t>
      </w:r>
      <w:r>
        <w:rPr>
          <w:rFonts w:hint="eastAsia" w:ascii="Times New Roman" w:hAnsi="Times New Roman" w:eastAsia="宋体" w:cs="Times New Roman"/>
          <w:szCs w:val="21"/>
        </w:rPr>
        <w:t xml:space="preserve">8  </w:t>
      </w:r>
      <w:r>
        <w:rPr>
          <w:rFonts w:ascii="Times New Roman" w:hAnsi="Times New Roman" w:eastAsia="宋体" w:cs="Times New Roman"/>
          <w:szCs w:val="21"/>
        </w:rPr>
        <w:t>标准品：大麻二酚</w:t>
      </w:r>
      <w:r>
        <w:rPr>
          <w:rFonts w:hint="eastAsia" w:ascii="Times New Roman" w:hAnsi="Times New Roman" w:eastAsia="宋体" w:cs="Times New Roman"/>
          <w:szCs w:val="21"/>
        </w:rPr>
        <w:t>（</w:t>
      </w:r>
      <w:r>
        <w:rPr>
          <w:rFonts w:ascii="Times New Roman" w:hAnsi="Times New Roman" w:eastAsia="宋体" w:cs="Times New Roman"/>
          <w:szCs w:val="21"/>
        </w:rPr>
        <w:t>CBDV</w:t>
      </w:r>
      <w:r>
        <w:rPr>
          <w:rFonts w:hint="eastAsia" w:ascii="Times New Roman" w:hAnsi="Times New Roman" w:eastAsia="宋体" w:cs="Times New Roman"/>
          <w:szCs w:val="21"/>
        </w:rPr>
        <w:t>）</w:t>
      </w:r>
      <w:r>
        <w:rPr>
          <w:rFonts w:ascii="Times New Roman" w:hAnsi="Times New Roman" w:eastAsia="宋体" w:cs="Times New Roman"/>
          <w:szCs w:val="21"/>
        </w:rPr>
        <w:t>、大麻二酚</w:t>
      </w:r>
      <w:r>
        <w:rPr>
          <w:rFonts w:hint="eastAsia" w:ascii="Times New Roman" w:hAnsi="Times New Roman" w:eastAsia="宋体" w:cs="Times New Roman"/>
          <w:szCs w:val="21"/>
        </w:rPr>
        <w:t>（</w:t>
      </w:r>
      <w:r>
        <w:rPr>
          <w:rFonts w:ascii="Times New Roman" w:hAnsi="Times New Roman" w:eastAsia="宋体" w:cs="Times New Roman"/>
          <w:szCs w:val="21"/>
        </w:rPr>
        <w:t>CBD</w:t>
      </w:r>
      <w:r>
        <w:rPr>
          <w:rFonts w:hint="eastAsia" w:ascii="Times New Roman" w:hAnsi="Times New Roman" w:eastAsia="宋体" w:cs="Times New Roman"/>
          <w:szCs w:val="21"/>
        </w:rPr>
        <w:t>）</w:t>
      </w:r>
      <w:r>
        <w:rPr>
          <w:rFonts w:ascii="Times New Roman" w:hAnsi="Times New Roman" w:eastAsia="宋体" w:cs="Times New Roman"/>
          <w:szCs w:val="21"/>
        </w:rPr>
        <w:t>、大麻酚</w:t>
      </w:r>
      <w:r>
        <w:rPr>
          <w:rFonts w:hint="eastAsia" w:ascii="Times New Roman" w:hAnsi="Times New Roman" w:eastAsia="宋体" w:cs="Times New Roman"/>
          <w:szCs w:val="21"/>
        </w:rPr>
        <w:t>（</w:t>
      </w:r>
      <w:r>
        <w:rPr>
          <w:rFonts w:ascii="Times New Roman" w:hAnsi="Times New Roman" w:eastAsia="宋体" w:cs="Times New Roman"/>
          <w:szCs w:val="21"/>
        </w:rPr>
        <w:t>CBN</w:t>
      </w:r>
      <w:r>
        <w:rPr>
          <w:rFonts w:hint="eastAsia" w:ascii="Times New Roman" w:hAnsi="Times New Roman" w:eastAsia="宋体" w:cs="Times New Roman"/>
          <w:szCs w:val="21"/>
        </w:rPr>
        <w:t>）</w:t>
      </w:r>
      <w:r>
        <w:rPr>
          <w:rFonts w:ascii="Times New Roman" w:hAnsi="Times New Roman" w:eastAsia="宋体" w:cs="Times New Roman"/>
          <w:szCs w:val="21"/>
        </w:rPr>
        <w:t>、Δ</w:t>
      </w:r>
      <w:r>
        <w:rPr>
          <w:rFonts w:ascii="Times New Roman" w:hAnsi="Times New Roman" w:eastAsia="宋体" w:cs="Times New Roman"/>
          <w:szCs w:val="21"/>
          <w:vertAlign w:val="superscript"/>
        </w:rPr>
        <w:t>9</w:t>
      </w:r>
      <w:r>
        <w:rPr>
          <w:rFonts w:ascii="Times New Roman" w:hAnsi="Times New Roman" w:eastAsia="宋体" w:cs="Times New Roman"/>
          <w:szCs w:val="21"/>
        </w:rPr>
        <w:t>-四氢大麻酚</w:t>
      </w:r>
      <w:r>
        <w:rPr>
          <w:rFonts w:hint="eastAsia" w:ascii="Times New Roman" w:hAnsi="Times New Roman" w:eastAsia="宋体" w:cs="Times New Roman"/>
          <w:szCs w:val="21"/>
        </w:rPr>
        <w:t>（</w:t>
      </w:r>
      <w:r>
        <w:rPr>
          <w:rFonts w:ascii="Times New Roman" w:hAnsi="Times New Roman" w:eastAsia="宋体" w:cs="Times New Roman"/>
          <w:szCs w:val="21"/>
        </w:rPr>
        <w:t>THC</w:t>
      </w:r>
      <w:r>
        <w:rPr>
          <w:rFonts w:hint="eastAsia" w:ascii="Times New Roman" w:hAnsi="Times New Roman" w:eastAsia="宋体" w:cs="Times New Roman"/>
          <w:szCs w:val="21"/>
        </w:rPr>
        <w:t>）</w:t>
      </w:r>
      <w:r>
        <w:rPr>
          <w:rFonts w:ascii="Times New Roman" w:hAnsi="Times New Roman" w:eastAsia="宋体" w:cs="Times New Roman"/>
          <w:szCs w:val="21"/>
        </w:rPr>
        <w:t>、大麻二酚酸</w:t>
      </w:r>
      <w:r>
        <w:rPr>
          <w:rFonts w:hint="eastAsia" w:ascii="Times New Roman" w:hAnsi="Times New Roman" w:eastAsia="宋体" w:cs="Times New Roman"/>
          <w:szCs w:val="21"/>
        </w:rPr>
        <w:t>（</w:t>
      </w:r>
      <w:r>
        <w:rPr>
          <w:rFonts w:ascii="Times New Roman" w:hAnsi="Times New Roman" w:eastAsia="宋体" w:cs="Times New Roman"/>
          <w:szCs w:val="21"/>
        </w:rPr>
        <w:t>CBDA</w:t>
      </w:r>
      <w:r>
        <w:rPr>
          <w:rFonts w:hint="eastAsia" w:ascii="Times New Roman" w:hAnsi="Times New Roman" w:eastAsia="宋体" w:cs="Times New Roman"/>
          <w:szCs w:val="21"/>
        </w:rPr>
        <w:t>）</w:t>
      </w:r>
      <w:r>
        <w:rPr>
          <w:rFonts w:ascii="Times New Roman" w:hAnsi="Times New Roman" w:eastAsia="宋体" w:cs="Times New Roman"/>
          <w:szCs w:val="21"/>
        </w:rPr>
        <w:t>、四氢大麻酸</w:t>
      </w:r>
      <w:r>
        <w:rPr>
          <w:rFonts w:hint="eastAsia" w:ascii="Times New Roman" w:hAnsi="Times New Roman" w:eastAsia="宋体" w:cs="Times New Roman"/>
          <w:szCs w:val="21"/>
        </w:rPr>
        <w:t>（</w:t>
      </w:r>
      <w:r>
        <w:rPr>
          <w:rFonts w:ascii="Times New Roman" w:hAnsi="Times New Roman" w:eastAsia="宋体" w:cs="Times New Roman"/>
          <w:szCs w:val="21"/>
        </w:rPr>
        <w:t>THCA</w:t>
      </w:r>
      <w:r>
        <w:rPr>
          <w:rFonts w:hint="eastAsia" w:ascii="Times New Roman" w:hAnsi="Times New Roman" w:eastAsia="宋体" w:cs="Times New Roman"/>
          <w:szCs w:val="21"/>
        </w:rPr>
        <w:t>）</w:t>
      </w:r>
      <w:r>
        <w:rPr>
          <w:rFonts w:ascii="Times New Roman" w:hAnsi="Times New Roman" w:eastAsia="宋体" w:cs="Times New Roman"/>
          <w:szCs w:val="21"/>
        </w:rPr>
        <w:t>的标准品为经国家认证并授予标准物质证书的标准</w:t>
      </w:r>
      <w:r>
        <w:rPr>
          <w:rFonts w:hint="eastAsia" w:ascii="Times New Roman" w:hAnsi="Times New Roman" w:eastAsia="宋体" w:cs="Times New Roman"/>
          <w:szCs w:val="21"/>
        </w:rPr>
        <w:t>品</w:t>
      </w:r>
      <w:r>
        <w:rPr>
          <w:rFonts w:ascii="Times New Roman" w:hAnsi="Times New Roman" w:eastAsia="宋体" w:cs="Times New Roman"/>
          <w:szCs w:val="21"/>
        </w:rPr>
        <w:t>。</w:t>
      </w:r>
      <w:r>
        <w:rPr>
          <w:rFonts w:hint="eastAsia" w:ascii="Times New Roman" w:hAnsi="Times New Roman" w:eastAsia="宋体" w:cs="Times New Roman"/>
          <w:szCs w:val="21"/>
        </w:rPr>
        <w:t xml:space="preserve"> </w:t>
      </w:r>
      <w:r>
        <w:rPr>
          <w:rFonts w:ascii="Times New Roman" w:hAnsi="Times New Roman" w:eastAsia="宋体" w:cs="Times New Roman"/>
          <w:szCs w:val="21"/>
        </w:rPr>
        <w:t>6</w:t>
      </w:r>
      <w:r>
        <w:rPr>
          <w:rFonts w:hint="eastAsia" w:ascii="Times New Roman" w:hAnsi="Times New Roman" w:eastAsia="宋体" w:cs="Times New Roman"/>
          <w:szCs w:val="21"/>
        </w:rPr>
        <w:t xml:space="preserve"> </w:t>
      </w:r>
      <w:r>
        <w:rPr>
          <w:rFonts w:ascii="Times New Roman" w:hAnsi="Times New Roman" w:eastAsia="宋体" w:cs="Times New Roman"/>
          <w:szCs w:val="21"/>
        </w:rPr>
        <w:t>种</w:t>
      </w:r>
      <w:r>
        <w:rPr>
          <w:rFonts w:hint="eastAsia" w:ascii="Times New Roman" w:hAnsi="Times New Roman" w:eastAsia="宋体" w:cs="Times New Roman"/>
          <w:szCs w:val="21"/>
        </w:rPr>
        <w:t>原料</w:t>
      </w:r>
      <w:r>
        <w:rPr>
          <w:rFonts w:ascii="Times New Roman" w:hAnsi="Times New Roman" w:eastAsia="宋体" w:cs="Times New Roman"/>
          <w:szCs w:val="21"/>
        </w:rPr>
        <w:t>标准品的中文名称、英文名称、CAS 号、相对分子质量和分子式见附录A。</w:t>
      </w:r>
    </w:p>
    <w:p>
      <w:pPr>
        <w:snapToGrid w:val="0"/>
        <w:spacing w:before="156" w:beforeLines="50" w:after="156" w:afterLines="50" w:line="300" w:lineRule="auto"/>
        <w:rPr>
          <w:rFonts w:ascii="Times New Roman" w:hAnsi="Times New Roman" w:eastAsia="宋体" w:cs="Times New Roman"/>
          <w:szCs w:val="21"/>
        </w:rPr>
      </w:pPr>
      <w:r>
        <w:rPr>
          <w:rFonts w:ascii="Times New Roman" w:hAnsi="Times New Roman" w:eastAsia="宋体" w:cs="Times New Roman"/>
          <w:szCs w:val="21"/>
        </w:rPr>
        <w:t>3.</w:t>
      </w:r>
      <w:r>
        <w:rPr>
          <w:rFonts w:hint="eastAsia" w:ascii="Times New Roman" w:hAnsi="Times New Roman" w:eastAsia="宋体" w:cs="Times New Roman"/>
          <w:szCs w:val="21"/>
        </w:rPr>
        <w:t>9  单标</w:t>
      </w:r>
      <w:r>
        <w:rPr>
          <w:rFonts w:ascii="Times New Roman" w:hAnsi="Times New Roman" w:eastAsia="宋体" w:cs="Times New Roman"/>
          <w:szCs w:val="21"/>
        </w:rPr>
        <w:t>标准储备溶液</w:t>
      </w:r>
      <w:r>
        <w:rPr>
          <w:rFonts w:hint="eastAsia" w:ascii="Times New Roman" w:hAnsi="Times New Roman" w:eastAsia="宋体" w:cs="Times New Roman"/>
          <w:szCs w:val="21"/>
        </w:rPr>
        <w:t>（</w:t>
      </w:r>
      <w:r>
        <w:rPr>
          <w:rFonts w:ascii="Times New Roman" w:hAnsi="Times New Roman" w:eastAsia="宋体" w:cs="Times New Roman"/>
          <w:szCs w:val="21"/>
        </w:rPr>
        <w:t>1</w:t>
      </w:r>
      <w:r>
        <w:rPr>
          <w:rFonts w:hint="eastAsia" w:ascii="Times New Roman" w:hAnsi="Times New Roman" w:eastAsia="宋体" w:cs="Times New Roman"/>
          <w:szCs w:val="21"/>
        </w:rPr>
        <w:t>00</w:t>
      </w:r>
      <w:r>
        <w:rPr>
          <w:rFonts w:ascii="Times New Roman" w:hAnsi="Times New Roman" w:eastAsia="宋体" w:cs="Times New Roman"/>
          <w:szCs w:val="21"/>
        </w:rPr>
        <w:t xml:space="preserve"> µg/</w:t>
      </w:r>
      <w:r>
        <w:rPr>
          <w:rFonts w:hint="eastAsia" w:ascii="Times New Roman" w:hAnsi="Times New Roman" w:eastAsia="宋体" w:cs="Times New Roman"/>
          <w:szCs w:val="21"/>
        </w:rPr>
        <w:t>m</w:t>
      </w:r>
      <w:r>
        <w:rPr>
          <w:rFonts w:ascii="Times New Roman" w:hAnsi="Times New Roman" w:eastAsia="宋体" w:cs="Times New Roman"/>
          <w:szCs w:val="21"/>
        </w:rPr>
        <w:t>L</w:t>
      </w:r>
      <w:r>
        <w:rPr>
          <w:rFonts w:hint="eastAsia" w:ascii="Times New Roman" w:hAnsi="Times New Roman" w:eastAsia="宋体" w:cs="Times New Roman"/>
          <w:szCs w:val="21"/>
        </w:rPr>
        <w:t>）</w:t>
      </w:r>
      <w:r>
        <w:rPr>
          <w:rFonts w:ascii="Times New Roman" w:hAnsi="Times New Roman" w:eastAsia="宋体" w:cs="Times New Roman"/>
          <w:szCs w:val="21"/>
        </w:rPr>
        <w:t>：</w:t>
      </w:r>
      <w:r>
        <w:rPr>
          <w:rFonts w:hint="eastAsia" w:ascii="Times New Roman" w:hAnsi="Times New Roman" w:eastAsia="宋体" w:cs="Times New Roman"/>
          <w:szCs w:val="21"/>
        </w:rPr>
        <w:t>分别称取大麻二酚等6种原料的标准品</w:t>
      </w:r>
      <w:r>
        <w:rPr>
          <w:rFonts w:ascii="Times New Roman" w:hAnsi="Times New Roman" w:eastAsia="宋体" w:cs="Times New Roman"/>
          <w:szCs w:val="21"/>
        </w:rPr>
        <w:t>（3.</w:t>
      </w:r>
      <w:r>
        <w:rPr>
          <w:rFonts w:hint="eastAsia" w:ascii="Times New Roman" w:hAnsi="Times New Roman" w:eastAsia="宋体" w:cs="Times New Roman"/>
          <w:szCs w:val="21"/>
        </w:rPr>
        <w:t>8</w:t>
      </w:r>
      <w:r>
        <w:rPr>
          <w:rFonts w:ascii="Times New Roman" w:hAnsi="Times New Roman" w:eastAsia="宋体" w:cs="Times New Roman"/>
          <w:szCs w:val="21"/>
        </w:rPr>
        <w:t>）</w:t>
      </w:r>
      <w:r>
        <w:rPr>
          <w:rFonts w:hint="eastAsia" w:ascii="Times New Roman" w:hAnsi="Times New Roman" w:eastAsia="宋体" w:cs="Times New Roman"/>
          <w:szCs w:val="21"/>
        </w:rPr>
        <w:t xml:space="preserve"> 10 mg（精确到</w:t>
      </w:r>
      <w:r>
        <w:rPr>
          <w:rFonts w:ascii="Times New Roman" w:hAnsi="Times New Roman" w:eastAsia="宋体" w:cs="Times New Roman"/>
          <w:szCs w:val="21"/>
        </w:rPr>
        <w:t>0.00</w:t>
      </w:r>
      <w:r>
        <w:rPr>
          <w:rFonts w:hint="eastAsia" w:ascii="Times New Roman" w:hAnsi="Times New Roman" w:eastAsia="宋体" w:cs="Times New Roman"/>
          <w:szCs w:val="21"/>
        </w:rPr>
        <w:t>0</w:t>
      </w:r>
      <w:r>
        <w:rPr>
          <w:rFonts w:ascii="Times New Roman" w:hAnsi="Times New Roman" w:eastAsia="宋体" w:cs="Times New Roman"/>
          <w:szCs w:val="21"/>
        </w:rPr>
        <w:t>1 g</w:t>
      </w:r>
      <w:r>
        <w:rPr>
          <w:rFonts w:hint="eastAsia" w:ascii="Times New Roman" w:hAnsi="Times New Roman" w:eastAsia="宋体" w:cs="Times New Roman"/>
          <w:szCs w:val="21"/>
        </w:rPr>
        <w:t xml:space="preserve">）置于 </w:t>
      </w:r>
      <w:r>
        <w:rPr>
          <w:rFonts w:ascii="Times New Roman" w:hAnsi="Times New Roman" w:eastAsia="宋体" w:cs="Times New Roman"/>
          <w:szCs w:val="21"/>
        </w:rPr>
        <w:t>10</w:t>
      </w:r>
      <w:r>
        <w:rPr>
          <w:rFonts w:hint="eastAsia" w:ascii="Times New Roman" w:hAnsi="Times New Roman" w:eastAsia="宋体" w:cs="Times New Roman"/>
          <w:szCs w:val="21"/>
        </w:rPr>
        <w:t>0</w:t>
      </w:r>
      <w:r>
        <w:rPr>
          <w:rFonts w:ascii="Times New Roman" w:hAnsi="Times New Roman" w:eastAsia="宋体" w:cs="Times New Roman"/>
          <w:szCs w:val="21"/>
        </w:rPr>
        <w:t xml:space="preserve"> mL</w:t>
      </w:r>
      <w:r>
        <w:rPr>
          <w:rFonts w:hint="eastAsia" w:ascii="Times New Roman" w:hAnsi="Times New Roman" w:eastAsia="宋体" w:cs="Times New Roman"/>
          <w:szCs w:val="21"/>
        </w:rPr>
        <w:t>棕色</w:t>
      </w:r>
      <w:r>
        <w:rPr>
          <w:rFonts w:ascii="Times New Roman" w:hAnsi="Times New Roman" w:eastAsia="宋体" w:cs="Times New Roman"/>
          <w:szCs w:val="21"/>
        </w:rPr>
        <w:t>容量瓶中，</w:t>
      </w:r>
      <w:r>
        <w:rPr>
          <w:rFonts w:hint="eastAsia" w:ascii="Times New Roman" w:hAnsi="Times New Roman" w:eastAsia="宋体" w:cs="Times New Roman"/>
          <w:szCs w:val="21"/>
        </w:rPr>
        <w:t>加</w:t>
      </w:r>
      <w:r>
        <w:rPr>
          <w:rFonts w:ascii="Times New Roman" w:hAnsi="Times New Roman" w:eastAsia="宋体" w:cs="Times New Roman"/>
          <w:szCs w:val="21"/>
        </w:rPr>
        <w:t>乙</w:t>
      </w:r>
      <w:r>
        <w:rPr>
          <w:rFonts w:hint="eastAsia" w:ascii="Times New Roman" w:hAnsi="Times New Roman" w:eastAsia="宋体" w:cs="Times New Roman"/>
          <w:szCs w:val="21"/>
        </w:rPr>
        <w:t>腈（</w:t>
      </w:r>
      <w:r>
        <w:rPr>
          <w:rFonts w:ascii="Times New Roman" w:hAnsi="Times New Roman" w:eastAsia="宋体" w:cs="Times New Roman"/>
          <w:szCs w:val="21"/>
        </w:rPr>
        <w:t>3.</w:t>
      </w:r>
      <w:r>
        <w:rPr>
          <w:rFonts w:hint="eastAsia" w:ascii="Times New Roman" w:hAnsi="Times New Roman" w:eastAsia="宋体" w:cs="Times New Roman"/>
          <w:szCs w:val="21"/>
        </w:rPr>
        <w:t>1）使溶解并定容至</w:t>
      </w:r>
      <w:r>
        <w:rPr>
          <w:rFonts w:ascii="Times New Roman" w:hAnsi="Times New Roman" w:eastAsia="宋体" w:cs="Times New Roman"/>
          <w:szCs w:val="21"/>
        </w:rPr>
        <w:t>刻度</w:t>
      </w:r>
      <w:r>
        <w:rPr>
          <w:rFonts w:hint="eastAsia" w:ascii="Times New Roman" w:hAnsi="Times New Roman" w:eastAsia="宋体" w:cs="Times New Roman"/>
          <w:szCs w:val="21"/>
        </w:rPr>
        <w:t>，摇匀</w:t>
      </w:r>
      <w:r>
        <w:rPr>
          <w:rFonts w:ascii="Times New Roman" w:hAnsi="Times New Roman" w:eastAsia="宋体" w:cs="Times New Roman"/>
          <w:szCs w:val="21"/>
        </w:rPr>
        <w:t>。</w:t>
      </w:r>
      <w:r>
        <w:rPr>
          <w:rFonts w:hint="eastAsia" w:ascii="Times New Roman" w:hAnsi="Times New Roman" w:eastAsia="宋体" w:cs="Times New Roman"/>
          <w:szCs w:val="21"/>
        </w:rPr>
        <w:t>或直接购买</w:t>
      </w:r>
      <w:r>
        <w:rPr>
          <w:rFonts w:ascii="Times New Roman" w:hAnsi="Times New Roman" w:eastAsia="宋体" w:cs="Times New Roman"/>
          <w:szCs w:val="21"/>
        </w:rPr>
        <w:t>经国家认证并授予标准物质证书的</w:t>
      </w:r>
      <w:r>
        <w:rPr>
          <w:rFonts w:hint="eastAsia" w:ascii="Times New Roman" w:hAnsi="Times New Roman" w:eastAsia="宋体" w:cs="Times New Roman"/>
          <w:szCs w:val="21"/>
        </w:rPr>
        <w:t>大麻二酚等 6 种原料的</w:t>
      </w:r>
      <w:r>
        <w:rPr>
          <w:rFonts w:ascii="Times New Roman" w:hAnsi="Times New Roman" w:eastAsia="宋体" w:cs="Times New Roman"/>
          <w:szCs w:val="21"/>
        </w:rPr>
        <w:t>标准溶液</w:t>
      </w:r>
      <w:r>
        <w:rPr>
          <w:rFonts w:hint="eastAsia" w:ascii="Times New Roman" w:hAnsi="Times New Roman" w:eastAsia="宋体" w:cs="Times New Roman"/>
          <w:szCs w:val="21"/>
        </w:rPr>
        <w:t>，</w:t>
      </w:r>
      <w:r>
        <w:rPr>
          <w:rFonts w:ascii="Times New Roman" w:hAnsi="Times New Roman" w:eastAsia="宋体" w:cs="Times New Roman"/>
          <w:szCs w:val="21"/>
        </w:rPr>
        <w:t>浓度为</w:t>
      </w:r>
      <w:r>
        <w:rPr>
          <w:rFonts w:hint="eastAsia" w:ascii="Times New Roman" w:hAnsi="Times New Roman" w:eastAsia="宋体" w:cs="Times New Roman"/>
          <w:szCs w:val="21"/>
        </w:rPr>
        <w:t xml:space="preserve"> </w:t>
      </w:r>
      <w:r>
        <w:rPr>
          <w:rFonts w:ascii="Times New Roman" w:hAnsi="Times New Roman" w:eastAsia="宋体" w:cs="Times New Roman"/>
          <w:szCs w:val="21"/>
        </w:rPr>
        <w:t>100</w:t>
      </w:r>
      <w:r>
        <w:rPr>
          <w:rFonts w:hint="eastAsia" w:ascii="Times New Roman" w:hAnsi="Times New Roman" w:eastAsia="宋体" w:cs="Times New Roman"/>
          <w:szCs w:val="21"/>
        </w:rPr>
        <w:t xml:space="preserve"> </w:t>
      </w:r>
      <w:r>
        <w:rPr>
          <w:rFonts w:ascii="Times New Roman" w:hAnsi="Times New Roman" w:eastAsia="宋体" w:cs="Times New Roman"/>
          <w:szCs w:val="21"/>
        </w:rPr>
        <w:t>μg/mL</w:t>
      </w:r>
      <w:r>
        <w:rPr>
          <w:rFonts w:hint="eastAsia" w:ascii="Times New Roman" w:hAnsi="Times New Roman" w:eastAsia="宋体" w:cs="Times New Roman"/>
          <w:szCs w:val="21"/>
        </w:rPr>
        <w:t xml:space="preserve"> 。 </w:t>
      </w:r>
      <w:r>
        <w:rPr>
          <w:rFonts w:ascii="Times New Roman" w:hAnsi="Times New Roman" w:eastAsia="宋体" w:cs="Times New Roman"/>
          <w:szCs w:val="21"/>
        </w:rPr>
        <w:t>-18</w:t>
      </w:r>
      <w:r>
        <w:rPr>
          <w:rFonts w:hint="eastAsia" w:ascii="Times New Roman" w:hAnsi="Times New Roman" w:eastAsia="宋体" w:cs="Times New Roman"/>
          <w:szCs w:val="21"/>
        </w:rPr>
        <w:t xml:space="preserve"> </w:t>
      </w:r>
      <w:r>
        <w:rPr>
          <w:rFonts w:ascii="Times New Roman" w:hAnsi="Times New Roman" w:eastAsia="宋体" w:cs="Times New Roman"/>
          <w:szCs w:val="21"/>
        </w:rPr>
        <w:t>℃</w:t>
      </w:r>
      <w:r>
        <w:rPr>
          <w:rFonts w:hint="eastAsia" w:ascii="Times New Roman" w:hAnsi="Times New Roman" w:eastAsia="宋体" w:cs="Times New Roman"/>
          <w:szCs w:val="21"/>
        </w:rPr>
        <w:t xml:space="preserve"> </w:t>
      </w:r>
      <w:r>
        <w:rPr>
          <w:rFonts w:ascii="Times New Roman" w:hAnsi="Times New Roman" w:eastAsia="宋体" w:cs="Times New Roman"/>
          <w:szCs w:val="21"/>
        </w:rPr>
        <w:t>避光保存</w:t>
      </w:r>
      <w:r>
        <w:rPr>
          <w:rFonts w:hint="eastAsia" w:ascii="Times New Roman" w:hAnsi="Times New Roman" w:eastAsia="宋体" w:cs="Times New Roman"/>
          <w:szCs w:val="21"/>
        </w:rPr>
        <w:t xml:space="preserve"> ，有效期为6 </w:t>
      </w:r>
      <w:r>
        <w:rPr>
          <w:rFonts w:ascii="Times New Roman" w:hAnsi="Times New Roman" w:eastAsia="宋体" w:cs="Times New Roman"/>
          <w:szCs w:val="21"/>
        </w:rPr>
        <w:t>个月。</w:t>
      </w:r>
    </w:p>
    <w:p>
      <w:pPr>
        <w:snapToGrid w:val="0"/>
        <w:spacing w:before="156" w:beforeLines="50" w:after="156" w:afterLines="50" w:line="300" w:lineRule="auto"/>
        <w:rPr>
          <w:rFonts w:ascii="Times New Roman" w:hAnsi="Times New Roman" w:eastAsia="宋体" w:cs="Times New Roman"/>
          <w:szCs w:val="21"/>
        </w:rPr>
      </w:pPr>
      <w:r>
        <w:rPr>
          <w:rFonts w:ascii="Times New Roman" w:hAnsi="Times New Roman" w:eastAsia="宋体" w:cs="Times New Roman"/>
          <w:szCs w:val="21"/>
        </w:rPr>
        <w:t>3.</w:t>
      </w:r>
      <w:r>
        <w:rPr>
          <w:rFonts w:hint="eastAsia" w:ascii="Times New Roman" w:hAnsi="Times New Roman" w:eastAsia="宋体" w:cs="Times New Roman"/>
          <w:szCs w:val="21"/>
        </w:rPr>
        <w:t>10  混合</w:t>
      </w:r>
      <w:r>
        <w:rPr>
          <w:rFonts w:ascii="Times New Roman" w:hAnsi="Times New Roman" w:eastAsia="宋体" w:cs="Times New Roman"/>
          <w:szCs w:val="21"/>
        </w:rPr>
        <w:t>标准储备溶液</w:t>
      </w:r>
      <w:r>
        <w:rPr>
          <w:rFonts w:hint="eastAsia" w:ascii="Times New Roman" w:hAnsi="Times New Roman" w:eastAsia="宋体" w:cs="Times New Roman"/>
          <w:szCs w:val="21"/>
        </w:rPr>
        <w:t>（</w:t>
      </w:r>
      <w:r>
        <w:rPr>
          <w:rFonts w:ascii="Times New Roman" w:hAnsi="Times New Roman" w:eastAsia="宋体" w:cs="Times New Roman"/>
          <w:szCs w:val="21"/>
        </w:rPr>
        <w:t>1</w:t>
      </w:r>
      <w:r>
        <w:rPr>
          <w:rFonts w:hint="eastAsia" w:ascii="Times New Roman" w:hAnsi="Times New Roman" w:eastAsia="宋体" w:cs="Times New Roman"/>
          <w:szCs w:val="21"/>
        </w:rPr>
        <w:t>.0</w:t>
      </w:r>
      <w:r>
        <w:rPr>
          <w:rFonts w:ascii="Times New Roman" w:hAnsi="Times New Roman" w:eastAsia="宋体" w:cs="Times New Roman"/>
          <w:szCs w:val="21"/>
        </w:rPr>
        <w:t xml:space="preserve"> µg/</w:t>
      </w:r>
      <w:r>
        <w:rPr>
          <w:rFonts w:hint="eastAsia" w:ascii="Times New Roman" w:hAnsi="Times New Roman" w:eastAsia="宋体" w:cs="Times New Roman"/>
          <w:szCs w:val="21"/>
        </w:rPr>
        <w:t>m</w:t>
      </w:r>
      <w:r>
        <w:rPr>
          <w:rFonts w:ascii="Times New Roman" w:hAnsi="Times New Roman" w:eastAsia="宋体" w:cs="Times New Roman"/>
          <w:szCs w:val="21"/>
        </w:rPr>
        <w:t>L</w:t>
      </w:r>
      <w:r>
        <w:rPr>
          <w:rFonts w:hint="eastAsia" w:ascii="Times New Roman" w:hAnsi="Times New Roman" w:eastAsia="宋体" w:cs="Times New Roman"/>
          <w:szCs w:val="21"/>
        </w:rPr>
        <w:t>）</w:t>
      </w:r>
      <w:r>
        <w:rPr>
          <w:rFonts w:ascii="Times New Roman" w:hAnsi="Times New Roman" w:eastAsia="宋体" w:cs="Times New Roman"/>
          <w:szCs w:val="21"/>
        </w:rPr>
        <w:t>：分别</w:t>
      </w:r>
      <w:r>
        <w:rPr>
          <w:rFonts w:hint="eastAsia" w:ascii="Times New Roman" w:hAnsi="Times New Roman" w:eastAsia="宋体" w:cs="Times New Roman"/>
          <w:szCs w:val="21"/>
        </w:rPr>
        <w:t>精密移</w:t>
      </w:r>
      <w:r>
        <w:rPr>
          <w:rFonts w:ascii="Times New Roman" w:hAnsi="Times New Roman" w:eastAsia="宋体" w:cs="Times New Roman"/>
          <w:szCs w:val="21"/>
        </w:rPr>
        <w:t>取6种原料的</w:t>
      </w:r>
      <w:r>
        <w:rPr>
          <w:rFonts w:hint="eastAsia" w:ascii="Times New Roman" w:hAnsi="Times New Roman" w:eastAsia="宋体" w:cs="Times New Roman"/>
          <w:szCs w:val="21"/>
        </w:rPr>
        <w:t>单标</w:t>
      </w:r>
      <w:r>
        <w:rPr>
          <w:rFonts w:ascii="Times New Roman" w:hAnsi="Times New Roman" w:eastAsia="宋体" w:cs="Times New Roman"/>
          <w:szCs w:val="21"/>
        </w:rPr>
        <w:t>标准</w:t>
      </w:r>
      <w:r>
        <w:rPr>
          <w:rFonts w:hint="eastAsia" w:ascii="Times New Roman" w:hAnsi="Times New Roman" w:eastAsia="宋体" w:cs="Times New Roman"/>
          <w:szCs w:val="21"/>
        </w:rPr>
        <w:t>储备溶液</w:t>
      </w:r>
      <w:r>
        <w:rPr>
          <w:rFonts w:ascii="Times New Roman" w:hAnsi="Times New Roman" w:eastAsia="宋体" w:cs="Times New Roman"/>
          <w:szCs w:val="21"/>
        </w:rPr>
        <w:t>（3.</w:t>
      </w:r>
      <w:r>
        <w:rPr>
          <w:rFonts w:hint="eastAsia" w:ascii="Times New Roman" w:hAnsi="Times New Roman" w:eastAsia="宋体" w:cs="Times New Roman"/>
          <w:szCs w:val="21"/>
        </w:rPr>
        <w:t>9</w:t>
      </w:r>
      <w:r>
        <w:rPr>
          <w:rFonts w:ascii="Times New Roman" w:hAnsi="Times New Roman" w:eastAsia="宋体" w:cs="Times New Roman"/>
          <w:szCs w:val="21"/>
        </w:rPr>
        <w:t>）</w:t>
      </w:r>
      <w:r>
        <w:rPr>
          <w:rFonts w:hint="eastAsia" w:ascii="Times New Roman" w:hAnsi="Times New Roman" w:eastAsia="宋体" w:cs="Times New Roman"/>
          <w:szCs w:val="21"/>
        </w:rPr>
        <w:t xml:space="preserve"> 0.1</w:t>
      </w:r>
      <w:r>
        <w:rPr>
          <w:rFonts w:ascii="Times New Roman" w:hAnsi="Times New Roman" w:eastAsia="宋体" w:cs="Times New Roman"/>
          <w:szCs w:val="21"/>
        </w:rPr>
        <w:t xml:space="preserve"> mL置于</w:t>
      </w:r>
      <w:r>
        <w:rPr>
          <w:rFonts w:hint="eastAsia" w:ascii="Times New Roman" w:hAnsi="Times New Roman" w:eastAsia="宋体" w:cs="Times New Roman"/>
          <w:szCs w:val="21"/>
        </w:rPr>
        <w:t xml:space="preserve"> </w:t>
      </w:r>
      <w:r>
        <w:rPr>
          <w:rFonts w:ascii="Times New Roman" w:hAnsi="Times New Roman" w:eastAsia="宋体" w:cs="Times New Roman"/>
          <w:szCs w:val="21"/>
        </w:rPr>
        <w:t>10 mL</w:t>
      </w:r>
      <w:r>
        <w:rPr>
          <w:rFonts w:hint="eastAsia" w:ascii="Times New Roman" w:hAnsi="Times New Roman" w:eastAsia="宋体" w:cs="Times New Roman"/>
          <w:szCs w:val="21"/>
        </w:rPr>
        <w:t>棕色</w:t>
      </w:r>
      <w:r>
        <w:rPr>
          <w:rFonts w:ascii="Times New Roman" w:hAnsi="Times New Roman" w:eastAsia="宋体" w:cs="Times New Roman"/>
          <w:szCs w:val="21"/>
        </w:rPr>
        <w:t>容量瓶中，</w:t>
      </w:r>
      <w:r>
        <w:rPr>
          <w:rFonts w:hint="eastAsia" w:ascii="Times New Roman" w:hAnsi="Times New Roman" w:eastAsia="宋体" w:cs="Times New Roman"/>
          <w:szCs w:val="21"/>
        </w:rPr>
        <w:t>用</w:t>
      </w:r>
      <w:r>
        <w:rPr>
          <w:rFonts w:ascii="Times New Roman" w:hAnsi="Times New Roman" w:eastAsia="宋体" w:cs="Times New Roman"/>
          <w:szCs w:val="21"/>
        </w:rPr>
        <w:t>乙</w:t>
      </w:r>
      <w:r>
        <w:rPr>
          <w:rFonts w:hint="eastAsia" w:ascii="Times New Roman" w:hAnsi="Times New Roman" w:eastAsia="宋体" w:cs="Times New Roman"/>
          <w:szCs w:val="21"/>
        </w:rPr>
        <w:t>腈（</w:t>
      </w:r>
      <w:r>
        <w:rPr>
          <w:rFonts w:ascii="Times New Roman" w:hAnsi="Times New Roman" w:eastAsia="宋体" w:cs="Times New Roman"/>
          <w:szCs w:val="21"/>
        </w:rPr>
        <w:t>3.</w:t>
      </w:r>
      <w:r>
        <w:rPr>
          <w:rFonts w:hint="eastAsia" w:ascii="Times New Roman" w:hAnsi="Times New Roman" w:eastAsia="宋体" w:cs="Times New Roman"/>
          <w:szCs w:val="21"/>
        </w:rPr>
        <w:t>1）稀释并</w:t>
      </w:r>
      <w:r>
        <w:rPr>
          <w:rFonts w:ascii="Times New Roman" w:hAnsi="Times New Roman" w:eastAsia="宋体" w:cs="Times New Roman"/>
          <w:szCs w:val="21"/>
        </w:rPr>
        <w:t>定容至刻度。</w:t>
      </w:r>
      <w:r>
        <w:rPr>
          <w:rFonts w:hint="eastAsia" w:ascii="Times New Roman" w:hAnsi="Times New Roman" w:eastAsia="宋体" w:cs="Times New Roman"/>
          <w:szCs w:val="21"/>
        </w:rPr>
        <w:t xml:space="preserve"> </w:t>
      </w:r>
      <w:r>
        <w:rPr>
          <w:rFonts w:ascii="Times New Roman" w:hAnsi="Times New Roman" w:eastAsia="宋体" w:cs="Times New Roman"/>
          <w:szCs w:val="21"/>
        </w:rPr>
        <w:t>-18</w:t>
      </w:r>
      <w:r>
        <w:rPr>
          <w:rFonts w:hint="eastAsia" w:ascii="Times New Roman" w:hAnsi="Times New Roman" w:eastAsia="宋体" w:cs="Times New Roman"/>
          <w:szCs w:val="21"/>
        </w:rPr>
        <w:t xml:space="preserve"> </w:t>
      </w:r>
      <w:r>
        <w:rPr>
          <w:rFonts w:ascii="Times New Roman" w:hAnsi="Times New Roman" w:eastAsia="宋体" w:cs="Times New Roman"/>
          <w:szCs w:val="21"/>
        </w:rPr>
        <w:t>℃</w:t>
      </w:r>
      <w:r>
        <w:rPr>
          <w:rFonts w:hint="eastAsia" w:ascii="Times New Roman" w:hAnsi="Times New Roman" w:eastAsia="宋体" w:cs="Times New Roman"/>
          <w:szCs w:val="21"/>
        </w:rPr>
        <w:t xml:space="preserve"> </w:t>
      </w:r>
      <w:r>
        <w:rPr>
          <w:rFonts w:ascii="Times New Roman" w:hAnsi="Times New Roman" w:eastAsia="宋体" w:cs="Times New Roman"/>
          <w:szCs w:val="21"/>
        </w:rPr>
        <w:t>避光保存</w:t>
      </w:r>
      <w:r>
        <w:rPr>
          <w:rFonts w:hint="eastAsia" w:ascii="Times New Roman" w:hAnsi="Times New Roman" w:eastAsia="宋体" w:cs="Times New Roman"/>
          <w:szCs w:val="21"/>
        </w:rPr>
        <w:t xml:space="preserve"> ，有效期为1 </w:t>
      </w:r>
      <w:r>
        <w:rPr>
          <w:rFonts w:ascii="Times New Roman" w:hAnsi="Times New Roman" w:eastAsia="宋体" w:cs="Times New Roman"/>
          <w:szCs w:val="21"/>
        </w:rPr>
        <w:t>个月。</w:t>
      </w:r>
    </w:p>
    <w:p>
      <w:pPr>
        <w:snapToGrid w:val="0"/>
        <w:spacing w:before="156" w:beforeLines="50" w:after="156" w:afterLines="50" w:line="300" w:lineRule="auto"/>
        <w:rPr>
          <w:rFonts w:ascii="Times New Roman" w:hAnsi="Times New Roman" w:eastAsia="宋体" w:cs="Times New Roman"/>
          <w:szCs w:val="21"/>
        </w:rPr>
      </w:pPr>
      <w:r>
        <w:rPr>
          <w:rFonts w:hint="eastAsia" w:ascii="Times New Roman" w:hAnsi="Times New Roman" w:eastAsia="宋体" w:cs="Times New Roman"/>
          <w:szCs w:val="21"/>
        </w:rPr>
        <w:t xml:space="preserve">3.11  </w:t>
      </w:r>
      <w:r>
        <w:rPr>
          <w:rFonts w:ascii="Times New Roman" w:hAnsi="Times New Roman" w:eastAsia="宋体" w:cs="Times New Roman"/>
          <w:szCs w:val="21"/>
        </w:rPr>
        <w:t>微孔滤膜（</w:t>
      </w:r>
      <w:r>
        <w:rPr>
          <w:rFonts w:hint="eastAsia" w:ascii="Times New Roman" w:hAnsi="Times New Roman" w:eastAsia="宋体" w:cs="Times New Roman"/>
          <w:szCs w:val="21"/>
        </w:rPr>
        <w:t xml:space="preserve"> </w:t>
      </w:r>
      <w:r>
        <w:rPr>
          <w:rFonts w:ascii="Times New Roman" w:hAnsi="Times New Roman" w:eastAsia="宋体" w:cs="Times New Roman"/>
          <w:szCs w:val="21"/>
        </w:rPr>
        <w:t>0.22 µm）。</w:t>
      </w:r>
    </w:p>
    <w:p>
      <w:pPr>
        <w:pStyle w:val="2"/>
        <w:snapToGrid w:val="0"/>
        <w:spacing w:before="156" w:beforeLines="50" w:after="156" w:afterLines="50" w:line="300" w:lineRule="auto"/>
        <w:rPr>
          <w:rFonts w:eastAsia="黑体" w:cs="Times New Roman"/>
          <w:b w:val="0"/>
          <w:sz w:val="21"/>
          <w:szCs w:val="21"/>
        </w:rPr>
      </w:pPr>
      <w:r>
        <w:rPr>
          <w:rFonts w:eastAsia="黑体" w:cs="Times New Roman"/>
          <w:b w:val="0"/>
          <w:sz w:val="21"/>
          <w:szCs w:val="21"/>
        </w:rPr>
        <w:t>4</w:t>
      </w:r>
      <w:r>
        <w:rPr>
          <w:rFonts w:hint="eastAsia" w:eastAsia="黑体" w:cs="Times New Roman"/>
          <w:b w:val="0"/>
          <w:sz w:val="21"/>
          <w:szCs w:val="21"/>
        </w:rPr>
        <w:t xml:space="preserve">  </w:t>
      </w:r>
      <w:r>
        <w:rPr>
          <w:rFonts w:eastAsia="黑体" w:cs="Times New Roman"/>
          <w:b w:val="0"/>
          <w:sz w:val="21"/>
          <w:szCs w:val="21"/>
        </w:rPr>
        <w:t>仪器和设备</w:t>
      </w:r>
    </w:p>
    <w:p>
      <w:pPr>
        <w:snapToGrid w:val="0"/>
        <w:spacing w:before="156" w:beforeLines="50" w:after="156" w:afterLines="50" w:line="300" w:lineRule="auto"/>
        <w:rPr>
          <w:rFonts w:ascii="Times New Roman" w:hAnsi="Times New Roman" w:eastAsia="宋体" w:cs="Times New Roman"/>
          <w:szCs w:val="21"/>
        </w:rPr>
      </w:pPr>
      <w:r>
        <w:rPr>
          <w:rFonts w:ascii="Times New Roman" w:hAnsi="Times New Roman" w:eastAsia="宋体" w:cs="Times New Roman"/>
          <w:szCs w:val="21"/>
        </w:rPr>
        <w:t>4.1</w:t>
      </w:r>
      <w:r>
        <w:rPr>
          <w:rFonts w:hint="eastAsia" w:ascii="Times New Roman" w:hAnsi="Times New Roman" w:eastAsia="宋体" w:cs="Times New Roman"/>
          <w:szCs w:val="21"/>
        </w:rPr>
        <w:t xml:space="preserve">  </w:t>
      </w:r>
      <w:r>
        <w:rPr>
          <w:rFonts w:ascii="Times New Roman" w:hAnsi="Times New Roman" w:eastAsia="宋体" w:cs="Times New Roman"/>
          <w:szCs w:val="21"/>
        </w:rPr>
        <w:t>液相色谱-三重四极杆质谱联用仪：配有电喷雾离子源（ESI）。</w:t>
      </w:r>
    </w:p>
    <w:p>
      <w:pPr>
        <w:snapToGrid w:val="0"/>
        <w:spacing w:before="156" w:beforeLines="50" w:after="156" w:afterLines="50" w:line="300" w:lineRule="auto"/>
        <w:rPr>
          <w:rFonts w:ascii="Times New Roman" w:hAnsi="Times New Roman" w:eastAsia="宋体" w:cs="Times New Roman"/>
          <w:szCs w:val="21"/>
        </w:rPr>
      </w:pPr>
      <w:r>
        <w:rPr>
          <w:rFonts w:ascii="Times New Roman" w:hAnsi="Times New Roman" w:eastAsia="宋体" w:cs="Times New Roman"/>
          <w:szCs w:val="21"/>
        </w:rPr>
        <w:t>4.2</w:t>
      </w:r>
      <w:r>
        <w:rPr>
          <w:rFonts w:hint="eastAsia" w:ascii="Times New Roman" w:hAnsi="Times New Roman" w:eastAsia="宋体" w:cs="Times New Roman"/>
          <w:szCs w:val="21"/>
        </w:rPr>
        <w:t xml:space="preserve">  </w:t>
      </w:r>
      <w:r>
        <w:rPr>
          <w:rFonts w:ascii="Times New Roman" w:hAnsi="Times New Roman" w:eastAsia="宋体" w:cs="Times New Roman"/>
          <w:szCs w:val="21"/>
        </w:rPr>
        <w:t>分析天平：感量为</w:t>
      </w:r>
      <w:r>
        <w:rPr>
          <w:rFonts w:hint="eastAsia" w:ascii="Times New Roman" w:hAnsi="Times New Roman" w:eastAsia="宋体" w:cs="Times New Roman"/>
          <w:szCs w:val="21"/>
        </w:rPr>
        <w:t xml:space="preserve"> </w:t>
      </w:r>
      <w:r>
        <w:rPr>
          <w:rFonts w:ascii="Times New Roman" w:hAnsi="Times New Roman" w:eastAsia="宋体" w:cs="Times New Roman"/>
          <w:szCs w:val="21"/>
        </w:rPr>
        <w:t>0.0001 g和</w:t>
      </w:r>
      <w:r>
        <w:rPr>
          <w:rFonts w:hint="eastAsia" w:ascii="Times New Roman" w:hAnsi="Times New Roman" w:eastAsia="宋体" w:cs="Times New Roman"/>
          <w:szCs w:val="21"/>
        </w:rPr>
        <w:t xml:space="preserve"> </w:t>
      </w:r>
      <w:r>
        <w:rPr>
          <w:rFonts w:ascii="Times New Roman" w:hAnsi="Times New Roman" w:eastAsia="宋体" w:cs="Times New Roman"/>
          <w:szCs w:val="21"/>
        </w:rPr>
        <w:t>0.00001 g。</w:t>
      </w:r>
    </w:p>
    <w:p>
      <w:pPr>
        <w:snapToGrid w:val="0"/>
        <w:spacing w:before="156" w:beforeLines="50" w:after="156" w:afterLines="50" w:line="300" w:lineRule="auto"/>
        <w:rPr>
          <w:rFonts w:ascii="Times New Roman" w:hAnsi="Times New Roman" w:eastAsia="宋体" w:cs="Times New Roman"/>
          <w:szCs w:val="21"/>
        </w:rPr>
      </w:pPr>
      <w:r>
        <w:rPr>
          <w:rFonts w:ascii="Times New Roman" w:hAnsi="Times New Roman" w:eastAsia="宋体" w:cs="Times New Roman"/>
          <w:szCs w:val="21"/>
        </w:rPr>
        <w:t>4.3</w:t>
      </w:r>
      <w:r>
        <w:rPr>
          <w:rFonts w:hint="eastAsia" w:ascii="Times New Roman" w:hAnsi="Times New Roman" w:eastAsia="宋体" w:cs="Times New Roman"/>
          <w:szCs w:val="21"/>
        </w:rPr>
        <w:t xml:space="preserve">  </w:t>
      </w:r>
      <w:r>
        <w:rPr>
          <w:rFonts w:ascii="Times New Roman" w:hAnsi="Times New Roman" w:eastAsia="宋体" w:cs="Times New Roman"/>
          <w:szCs w:val="21"/>
        </w:rPr>
        <w:t>超声波清洗仪：功率不低于</w:t>
      </w:r>
      <w:r>
        <w:rPr>
          <w:rFonts w:hint="eastAsia" w:ascii="Times New Roman" w:hAnsi="Times New Roman" w:eastAsia="宋体" w:cs="Times New Roman"/>
          <w:szCs w:val="21"/>
        </w:rPr>
        <w:t xml:space="preserve"> </w:t>
      </w:r>
      <w:r>
        <w:rPr>
          <w:rFonts w:ascii="Times New Roman" w:hAnsi="Times New Roman" w:eastAsia="宋体" w:cs="Times New Roman"/>
          <w:szCs w:val="21"/>
        </w:rPr>
        <w:t>200</w:t>
      </w:r>
      <w:r>
        <w:rPr>
          <w:rFonts w:hint="eastAsia" w:ascii="Times New Roman" w:hAnsi="Times New Roman" w:eastAsia="宋体" w:cs="Times New Roman"/>
          <w:szCs w:val="21"/>
        </w:rPr>
        <w:t xml:space="preserve"> </w:t>
      </w:r>
      <w:r>
        <w:rPr>
          <w:rFonts w:ascii="Times New Roman" w:hAnsi="Times New Roman" w:eastAsia="宋体" w:cs="Times New Roman"/>
          <w:szCs w:val="21"/>
        </w:rPr>
        <w:t>W。</w:t>
      </w:r>
    </w:p>
    <w:p>
      <w:pPr>
        <w:snapToGrid w:val="0"/>
        <w:spacing w:before="156" w:beforeLines="50" w:after="156" w:afterLines="50" w:line="300" w:lineRule="auto"/>
        <w:rPr>
          <w:rFonts w:ascii="Times New Roman" w:hAnsi="Times New Roman" w:eastAsia="宋体" w:cs="Times New Roman"/>
          <w:szCs w:val="21"/>
        </w:rPr>
      </w:pPr>
      <w:r>
        <w:rPr>
          <w:rFonts w:ascii="Times New Roman" w:hAnsi="Times New Roman" w:eastAsia="宋体" w:cs="Times New Roman"/>
          <w:szCs w:val="21"/>
        </w:rPr>
        <w:t>4.4</w:t>
      </w:r>
      <w:r>
        <w:rPr>
          <w:rFonts w:hint="eastAsia" w:ascii="Times New Roman" w:hAnsi="Times New Roman" w:eastAsia="宋体" w:cs="Times New Roman"/>
          <w:szCs w:val="21"/>
        </w:rPr>
        <w:t xml:space="preserve">  </w:t>
      </w:r>
      <w:r>
        <w:rPr>
          <w:rFonts w:ascii="Times New Roman" w:hAnsi="Times New Roman" w:eastAsia="宋体" w:cs="Times New Roman"/>
          <w:szCs w:val="21"/>
        </w:rPr>
        <w:t>离心机，转速不低于</w:t>
      </w:r>
      <w:r>
        <w:rPr>
          <w:rFonts w:hint="eastAsia" w:ascii="Times New Roman" w:hAnsi="Times New Roman" w:eastAsia="宋体" w:cs="Times New Roman"/>
          <w:szCs w:val="21"/>
        </w:rPr>
        <w:t xml:space="preserve"> </w:t>
      </w:r>
      <w:r>
        <w:rPr>
          <w:rFonts w:ascii="Times New Roman" w:hAnsi="Times New Roman" w:eastAsia="宋体" w:cs="Times New Roman"/>
          <w:szCs w:val="21"/>
        </w:rPr>
        <w:t>6000 r/min。</w:t>
      </w:r>
    </w:p>
    <w:p>
      <w:pPr>
        <w:snapToGrid w:val="0"/>
        <w:spacing w:before="156" w:beforeLines="50" w:after="156" w:afterLines="50" w:line="300" w:lineRule="auto"/>
        <w:rPr>
          <w:rFonts w:ascii="Times New Roman" w:hAnsi="Times New Roman" w:eastAsia="宋体" w:cs="Times New Roman"/>
          <w:szCs w:val="21"/>
        </w:rPr>
      </w:pPr>
      <w:r>
        <w:rPr>
          <w:rFonts w:ascii="Times New Roman" w:hAnsi="Times New Roman" w:eastAsia="宋体" w:cs="Times New Roman"/>
          <w:szCs w:val="21"/>
        </w:rPr>
        <w:t>4.5</w:t>
      </w:r>
      <w:r>
        <w:rPr>
          <w:rFonts w:hint="eastAsia" w:ascii="Times New Roman" w:hAnsi="Times New Roman" w:eastAsia="宋体" w:cs="Times New Roman"/>
          <w:szCs w:val="21"/>
        </w:rPr>
        <w:t xml:space="preserve">  </w:t>
      </w:r>
      <w:r>
        <w:rPr>
          <w:rFonts w:ascii="Times New Roman" w:hAnsi="Times New Roman" w:eastAsia="宋体" w:cs="Times New Roman"/>
          <w:szCs w:val="21"/>
        </w:rPr>
        <w:t>涡旋混合仪。</w:t>
      </w:r>
    </w:p>
    <w:p>
      <w:pPr>
        <w:pStyle w:val="2"/>
        <w:snapToGrid w:val="0"/>
        <w:spacing w:before="156" w:beforeLines="50" w:after="156" w:afterLines="50" w:line="300" w:lineRule="auto"/>
        <w:rPr>
          <w:rFonts w:eastAsia="黑体" w:cs="Times New Roman"/>
          <w:b w:val="0"/>
          <w:sz w:val="21"/>
          <w:szCs w:val="21"/>
        </w:rPr>
      </w:pPr>
      <w:r>
        <w:rPr>
          <w:rFonts w:eastAsia="黑体" w:cs="Times New Roman"/>
          <w:b w:val="0"/>
          <w:sz w:val="21"/>
          <w:szCs w:val="21"/>
        </w:rPr>
        <w:t>5</w:t>
      </w:r>
      <w:r>
        <w:rPr>
          <w:rFonts w:hint="eastAsia" w:eastAsia="黑体" w:cs="Times New Roman"/>
          <w:b w:val="0"/>
          <w:sz w:val="21"/>
          <w:szCs w:val="21"/>
        </w:rPr>
        <w:t xml:space="preserve">  分析</w:t>
      </w:r>
      <w:r>
        <w:rPr>
          <w:rFonts w:eastAsia="黑体" w:cs="Times New Roman"/>
          <w:b w:val="0"/>
          <w:sz w:val="21"/>
          <w:szCs w:val="21"/>
        </w:rPr>
        <w:t>步骤</w:t>
      </w:r>
    </w:p>
    <w:p>
      <w:pPr>
        <w:snapToGrid w:val="0"/>
        <w:spacing w:before="156" w:beforeLines="50" w:after="156" w:afterLines="50" w:line="300" w:lineRule="auto"/>
        <w:rPr>
          <w:rFonts w:ascii="Times New Roman" w:hAnsi="Times New Roman" w:eastAsia="宋体" w:cs="Times New Roman"/>
          <w:szCs w:val="21"/>
        </w:rPr>
      </w:pPr>
      <w:r>
        <w:rPr>
          <w:rFonts w:ascii="Times New Roman" w:hAnsi="Times New Roman" w:eastAsia="宋体" w:cs="Times New Roman"/>
          <w:szCs w:val="21"/>
        </w:rPr>
        <w:t>5.1  筛查用标准溶液的制备</w:t>
      </w:r>
    </w:p>
    <w:p>
      <w:pPr>
        <w:snapToGrid w:val="0"/>
        <w:spacing w:line="30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取混合标准储备溶液（3.</w:t>
      </w:r>
      <w:r>
        <w:rPr>
          <w:rFonts w:hint="eastAsia" w:ascii="Times New Roman" w:hAnsi="Times New Roman" w:eastAsia="宋体" w:cs="Times New Roman"/>
          <w:szCs w:val="21"/>
        </w:rPr>
        <w:t>10</w:t>
      </w:r>
      <w:r>
        <w:rPr>
          <w:rFonts w:ascii="Times New Roman" w:hAnsi="Times New Roman" w:eastAsia="宋体" w:cs="Times New Roman"/>
          <w:szCs w:val="21"/>
        </w:rPr>
        <w:t>）适量，用乙腈配制成浓度为 1</w:t>
      </w:r>
      <w:r>
        <w:rPr>
          <w:rFonts w:hint="eastAsia" w:ascii="Times New Roman" w:hAnsi="Times New Roman" w:eastAsia="宋体" w:cs="Times New Roman"/>
          <w:szCs w:val="21"/>
        </w:rPr>
        <w:t>ng/mL</w:t>
      </w:r>
      <w:r>
        <w:rPr>
          <w:rFonts w:ascii="Times New Roman" w:hAnsi="Times New Roman" w:eastAsia="宋体" w:cs="Times New Roman"/>
          <w:szCs w:val="21"/>
        </w:rPr>
        <w:t>的溶液。临用现配。</w:t>
      </w:r>
    </w:p>
    <w:p>
      <w:pPr>
        <w:snapToGrid w:val="0"/>
        <w:spacing w:before="156" w:beforeLines="50" w:after="156" w:afterLines="50" w:line="300" w:lineRule="auto"/>
        <w:rPr>
          <w:rFonts w:ascii="Times New Roman" w:hAnsi="Times New Roman" w:eastAsia="宋体" w:cs="Times New Roman"/>
          <w:szCs w:val="21"/>
        </w:rPr>
      </w:pPr>
      <w:r>
        <w:rPr>
          <w:rFonts w:ascii="Times New Roman" w:hAnsi="Times New Roman" w:eastAsia="宋体" w:cs="Times New Roman"/>
          <w:szCs w:val="21"/>
        </w:rPr>
        <w:t>5.2  基质标准工作溶液的制备</w:t>
      </w:r>
    </w:p>
    <w:p>
      <w:pPr>
        <w:snapToGrid w:val="0"/>
        <w:spacing w:line="300" w:lineRule="auto"/>
        <w:rPr>
          <w:rFonts w:ascii="Times New Roman" w:hAnsi="Times New Roman" w:eastAsia="宋体" w:cs="Times New Roman"/>
          <w:szCs w:val="21"/>
        </w:rPr>
      </w:pPr>
      <w:r>
        <w:rPr>
          <w:rFonts w:ascii="Times New Roman" w:hAnsi="Times New Roman" w:eastAsia="宋体" w:cs="Times New Roman"/>
          <w:szCs w:val="21"/>
        </w:rPr>
        <w:t>5.2.1 空白基质提取液制备</w:t>
      </w:r>
    </w:p>
    <w:p>
      <w:pPr>
        <w:snapToGrid w:val="0"/>
        <w:spacing w:line="30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取与待测化妆品配方相同或相近的基质空白样品 0.2 g （精确至 0.001 g），置于 10 mL具塞比色管中，与样品同法处理，作为空白基质提取液。</w:t>
      </w:r>
    </w:p>
    <w:p>
      <w:pPr>
        <w:snapToGrid w:val="0"/>
        <w:spacing w:line="300" w:lineRule="auto"/>
        <w:rPr>
          <w:rFonts w:ascii="Times New Roman" w:hAnsi="Times New Roman" w:eastAsia="宋体" w:cs="Times New Roman"/>
          <w:szCs w:val="21"/>
        </w:rPr>
      </w:pPr>
      <w:r>
        <w:rPr>
          <w:rFonts w:ascii="Times New Roman" w:hAnsi="Times New Roman" w:eastAsia="宋体" w:cs="Times New Roman"/>
          <w:szCs w:val="21"/>
        </w:rPr>
        <w:t>5.2.2 基质标准系列溶液的制备</w:t>
      </w:r>
    </w:p>
    <w:p>
      <w:pPr>
        <w:snapToGrid w:val="0"/>
        <w:spacing w:line="30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取混合标准储备溶液（3.</w:t>
      </w:r>
      <w:r>
        <w:rPr>
          <w:rFonts w:hint="eastAsia" w:ascii="Times New Roman" w:hAnsi="Times New Roman" w:eastAsia="宋体" w:cs="Times New Roman"/>
          <w:szCs w:val="21"/>
        </w:rPr>
        <w:t>10</w:t>
      </w:r>
      <w:r>
        <w:rPr>
          <w:rFonts w:ascii="Times New Roman" w:hAnsi="Times New Roman" w:eastAsia="宋体" w:cs="Times New Roman"/>
          <w:szCs w:val="21"/>
        </w:rPr>
        <w:t>）适量，用空白基质提取液逐级稀释得到浓度为 1、2、5、10、20、50</w:t>
      </w:r>
      <w:r>
        <w:rPr>
          <w:rFonts w:hint="eastAsia" w:ascii="Times New Roman" w:hAnsi="Times New Roman" w:eastAsia="宋体" w:cs="Times New Roman"/>
          <w:szCs w:val="21"/>
        </w:rPr>
        <w:t>ng/mL</w:t>
      </w:r>
      <w:r>
        <w:rPr>
          <w:rFonts w:ascii="Times New Roman" w:hAnsi="Times New Roman" w:eastAsia="宋体" w:cs="Times New Roman"/>
          <w:szCs w:val="21"/>
        </w:rPr>
        <w:t>的基质标准系列溶液。临用现配。</w:t>
      </w:r>
    </w:p>
    <w:p>
      <w:pPr>
        <w:snapToGrid w:val="0"/>
        <w:spacing w:before="156" w:beforeLines="50" w:after="156" w:afterLines="50" w:line="300" w:lineRule="auto"/>
        <w:rPr>
          <w:rFonts w:ascii="Times New Roman" w:hAnsi="Times New Roman" w:eastAsia="宋体" w:cs="Times New Roman"/>
          <w:szCs w:val="21"/>
        </w:rPr>
      </w:pPr>
      <w:r>
        <w:rPr>
          <w:rFonts w:ascii="Times New Roman" w:hAnsi="Times New Roman" w:eastAsia="宋体" w:cs="Times New Roman"/>
          <w:szCs w:val="21"/>
        </w:rPr>
        <w:t>5.3  样品处理</w:t>
      </w:r>
    </w:p>
    <w:p>
      <w:pPr>
        <w:snapToGrid w:val="0"/>
        <w:spacing w:line="300" w:lineRule="auto"/>
        <w:rPr>
          <w:rFonts w:ascii="Times New Roman" w:hAnsi="Times New Roman" w:eastAsia="宋体" w:cs="Times New Roman"/>
          <w:szCs w:val="21"/>
        </w:rPr>
      </w:pPr>
      <w:r>
        <w:rPr>
          <w:rFonts w:ascii="Times New Roman" w:hAnsi="Times New Roman" w:eastAsia="宋体" w:cs="Times New Roman"/>
          <w:szCs w:val="21"/>
        </w:rPr>
        <w:t>5.3.1 膏霜乳液类、液体（水、油）类、凝胶类、粉剂类</w:t>
      </w:r>
    </w:p>
    <w:p>
      <w:pPr>
        <w:snapToGrid w:val="0"/>
        <w:spacing w:line="30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称取样品 0.2 g（精确至 0.001 g），置于 10 mL具塞比色管中，加 1～2 mL乙腈（3.1），涡旋分散均匀后，加乙腈（3.1）至近刻度，冰浴超声提取 10 min，静置至室温，用乙腈（3.1）定容至刻度，加入硅镁</w:t>
      </w:r>
      <w:r>
        <w:rPr>
          <w:rFonts w:hint="eastAsia" w:ascii="Times New Roman" w:hAnsi="Times New Roman" w:eastAsia="宋体" w:cs="Times New Roman"/>
          <w:szCs w:val="21"/>
        </w:rPr>
        <w:t>型（3.6）</w:t>
      </w:r>
      <w:r>
        <w:rPr>
          <w:rFonts w:ascii="Times New Roman" w:hAnsi="Times New Roman" w:eastAsia="宋体" w:cs="Times New Roman"/>
          <w:szCs w:val="21"/>
        </w:rPr>
        <w:t>吸附剂 1 g，混匀，以 6000 r/min 转速离心 10 min。取上清液经 0.22 μm 滤膜过滤，滤液作为供试品溶液备用（根据样品的实际检测情况，当样品含量高于线性最高点时，可对供试品溶液进行适当稀释，空白基质提取液同步稀释</w:t>
      </w:r>
      <w:r>
        <w:rPr>
          <w:rFonts w:hint="eastAsia" w:ascii="Times New Roman" w:hAnsi="Times New Roman" w:eastAsia="宋体" w:cs="Times New Roman"/>
          <w:szCs w:val="21"/>
        </w:rPr>
        <w:t>）</w:t>
      </w:r>
      <w:r>
        <w:rPr>
          <w:rFonts w:ascii="Times New Roman" w:hAnsi="Times New Roman" w:eastAsia="宋体" w:cs="Times New Roman"/>
          <w:szCs w:val="21"/>
        </w:rPr>
        <w:t>。</w:t>
      </w:r>
    </w:p>
    <w:p>
      <w:pPr>
        <w:snapToGrid w:val="0"/>
        <w:spacing w:line="300" w:lineRule="auto"/>
        <w:rPr>
          <w:rFonts w:ascii="Times New Roman" w:hAnsi="Times New Roman" w:eastAsia="宋体" w:cs="Times New Roman"/>
          <w:szCs w:val="21"/>
        </w:rPr>
      </w:pPr>
      <w:r>
        <w:rPr>
          <w:rFonts w:ascii="Times New Roman" w:hAnsi="Times New Roman" w:eastAsia="宋体" w:cs="Times New Roman"/>
          <w:szCs w:val="21"/>
        </w:rPr>
        <w:t>5.3.2 蜡基类</w:t>
      </w:r>
    </w:p>
    <w:p>
      <w:pPr>
        <w:snapToGrid w:val="0"/>
        <w:spacing w:line="30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称取样品 0.2 g（精确至 0.001 g），置于 10 mL具塞比色管中，加石油醚（ 30 ~ 60℃）（3.</w:t>
      </w:r>
      <w:r>
        <w:rPr>
          <w:rFonts w:hint="eastAsia" w:ascii="Times New Roman" w:hAnsi="Times New Roman" w:eastAsia="宋体" w:cs="Times New Roman"/>
          <w:szCs w:val="21"/>
        </w:rPr>
        <w:t>4</w:t>
      </w:r>
      <w:r>
        <w:rPr>
          <w:rFonts w:ascii="Times New Roman" w:hAnsi="Times New Roman" w:eastAsia="宋体" w:cs="Times New Roman"/>
          <w:szCs w:val="21"/>
        </w:rPr>
        <w:t>） 1 mL，涡旋分散均匀后，加乙腈（3.1）至近刻度，冰浴超声提取 10 min，静置至室温，用乙腈（3.1）定容至刻度，加入硅镁</w:t>
      </w:r>
      <w:r>
        <w:rPr>
          <w:rFonts w:hint="eastAsia" w:ascii="Times New Roman" w:hAnsi="Times New Roman" w:eastAsia="宋体" w:cs="Times New Roman"/>
          <w:szCs w:val="21"/>
        </w:rPr>
        <w:t>型（3.6）</w:t>
      </w:r>
      <w:r>
        <w:rPr>
          <w:rFonts w:ascii="Times New Roman" w:hAnsi="Times New Roman" w:eastAsia="宋体" w:cs="Times New Roman"/>
          <w:szCs w:val="21"/>
        </w:rPr>
        <w:t>吸附剂 1 g，混匀，以 6000 r/min 转速离心 10 min。取上清液经 0.22 μm 滤膜过滤，滤液作为供试品溶液备用（供试品溶液可根据实际浓度进行适当稀释）。</w:t>
      </w:r>
    </w:p>
    <w:p>
      <w:pPr>
        <w:snapToGrid w:val="0"/>
        <w:spacing w:line="30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注：基质标准系列溶液与样品处理应全程避光操作，并在 24 小时内完成测定。</w:t>
      </w:r>
    </w:p>
    <w:p>
      <w:pPr>
        <w:snapToGrid w:val="0"/>
        <w:spacing w:before="156" w:beforeLines="50" w:after="156" w:afterLines="50" w:line="300" w:lineRule="auto"/>
        <w:rPr>
          <w:rFonts w:ascii="Times New Roman" w:hAnsi="Times New Roman" w:eastAsia="宋体" w:cs="Times New Roman"/>
          <w:szCs w:val="21"/>
        </w:rPr>
      </w:pPr>
      <w:r>
        <w:rPr>
          <w:rFonts w:ascii="Times New Roman" w:hAnsi="Times New Roman" w:eastAsia="宋体" w:cs="Times New Roman"/>
          <w:szCs w:val="21"/>
        </w:rPr>
        <w:t>5.4  仪器参考条件</w:t>
      </w:r>
    </w:p>
    <w:p>
      <w:pPr>
        <w:snapToGrid w:val="0"/>
        <w:spacing w:line="300" w:lineRule="auto"/>
        <w:rPr>
          <w:rFonts w:ascii="Times New Roman" w:hAnsi="Times New Roman" w:eastAsia="宋体" w:cs="Times New Roman"/>
          <w:szCs w:val="21"/>
        </w:rPr>
      </w:pPr>
      <w:r>
        <w:rPr>
          <w:rFonts w:ascii="Times New Roman" w:hAnsi="Times New Roman" w:eastAsia="宋体" w:cs="Times New Roman"/>
          <w:szCs w:val="21"/>
        </w:rPr>
        <w:t>5.4.1 色谱条件</w:t>
      </w:r>
    </w:p>
    <w:p>
      <w:pPr>
        <w:snapToGrid w:val="0"/>
        <w:spacing w:line="30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色谱柱：C</w:t>
      </w:r>
      <w:r>
        <w:rPr>
          <w:rFonts w:ascii="Times New Roman" w:hAnsi="Times New Roman" w:eastAsia="宋体" w:cs="Times New Roman"/>
          <w:szCs w:val="21"/>
          <w:vertAlign w:val="subscript"/>
        </w:rPr>
        <w:t>18</w:t>
      </w:r>
      <w:r>
        <w:rPr>
          <w:rFonts w:ascii="Times New Roman" w:hAnsi="Times New Roman" w:eastAsia="宋体" w:cs="Times New Roman"/>
          <w:szCs w:val="21"/>
        </w:rPr>
        <w:t xml:space="preserve">柱（100 mm×2.1 mm，1.8 </w:t>
      </w:r>
      <w:r>
        <w:rPr>
          <w:rFonts w:ascii="Times New Roman" w:hAnsi="Times New Roman" w:eastAsia="宋体" w:cs="Times New Roman"/>
          <w:szCs w:val="21"/>
        </w:rPr>
        <w:sym w:font="Symbol" w:char="006D"/>
      </w:r>
      <w:r>
        <w:rPr>
          <w:rFonts w:ascii="Times New Roman" w:hAnsi="Times New Roman" w:eastAsia="宋体" w:cs="Times New Roman"/>
          <w:szCs w:val="21"/>
        </w:rPr>
        <w:t>m），或等效色谱柱；</w:t>
      </w:r>
    </w:p>
    <w:p>
      <w:pPr>
        <w:snapToGrid w:val="0"/>
        <w:spacing w:line="30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流动相：A：5 mmol/L甲酸铵水溶液（3.</w:t>
      </w:r>
      <w:r>
        <w:rPr>
          <w:rFonts w:hint="eastAsia" w:ascii="Times New Roman" w:hAnsi="Times New Roman" w:eastAsia="宋体" w:cs="Times New Roman"/>
          <w:szCs w:val="21"/>
        </w:rPr>
        <w:t>7</w:t>
      </w:r>
      <w:r>
        <w:rPr>
          <w:rFonts w:ascii="Times New Roman" w:hAnsi="Times New Roman" w:eastAsia="宋体" w:cs="Times New Roman"/>
          <w:szCs w:val="21"/>
        </w:rPr>
        <w:t>）；B：甲醇（3.2），梯度洗脱程序见表1 。</w:t>
      </w:r>
    </w:p>
    <w:p>
      <w:pPr>
        <w:spacing w:before="124" w:beforeLines="40" w:after="124" w:afterLines="40" w:line="300" w:lineRule="auto"/>
        <w:jc w:val="center"/>
        <w:rPr>
          <w:rFonts w:ascii="黑体" w:hAnsi="黑体" w:eastAsia="黑体" w:cs="黑体"/>
          <w:szCs w:val="21"/>
        </w:rPr>
      </w:pPr>
      <w:r>
        <w:rPr>
          <w:rFonts w:hint="eastAsia" w:ascii="黑体" w:hAnsi="黑体" w:eastAsia="黑体" w:cs="黑体"/>
          <w:szCs w:val="21"/>
        </w:rPr>
        <w:t>表1 流动相梯度洗脱程序</w:t>
      </w:r>
    </w:p>
    <w:tbl>
      <w:tblPr>
        <w:tblStyle w:val="8"/>
        <w:tblW w:w="5000" w:type="pct"/>
        <w:jc w:val="center"/>
        <w:tblLayout w:type="autofit"/>
        <w:tblCellMar>
          <w:top w:w="0" w:type="dxa"/>
          <w:left w:w="108" w:type="dxa"/>
          <w:bottom w:w="0" w:type="dxa"/>
          <w:right w:w="108" w:type="dxa"/>
        </w:tblCellMar>
      </w:tblPr>
      <w:tblGrid>
        <w:gridCol w:w="2676"/>
        <w:gridCol w:w="2677"/>
        <w:gridCol w:w="3169"/>
      </w:tblGrid>
      <w:tr>
        <w:trPr>
          <w:trHeight w:val="367" w:hRule="atLeast"/>
          <w:jc w:val="center"/>
        </w:trPr>
        <w:tc>
          <w:tcPr>
            <w:tcW w:w="1570" w:type="pct"/>
            <w:tcBorders>
              <w:top w:val="single" w:color="auto" w:sz="8" w:space="0"/>
              <w:left w:val="nil"/>
              <w:bottom w:val="single" w:color="auto" w:sz="8" w:space="0"/>
              <w:right w:val="nil"/>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时间/min</w:t>
            </w:r>
          </w:p>
        </w:tc>
        <w:tc>
          <w:tcPr>
            <w:tcW w:w="1570" w:type="pct"/>
            <w:tcBorders>
              <w:top w:val="single" w:color="auto" w:sz="8" w:space="0"/>
              <w:left w:val="nil"/>
              <w:bottom w:val="single" w:color="auto" w:sz="8" w:space="0"/>
              <w:right w:val="nil"/>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V（流动相A）/%</w:t>
            </w:r>
          </w:p>
        </w:tc>
        <w:tc>
          <w:tcPr>
            <w:tcW w:w="1859" w:type="pct"/>
            <w:tcBorders>
              <w:top w:val="single" w:color="auto" w:sz="8" w:space="0"/>
              <w:left w:val="nil"/>
              <w:bottom w:val="single" w:color="auto" w:sz="8" w:space="0"/>
              <w:right w:val="nil"/>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V（流动相B）/%</w:t>
            </w:r>
          </w:p>
        </w:tc>
      </w:tr>
      <w:tr>
        <w:trPr>
          <w:trHeight w:val="270" w:hRule="atLeast"/>
          <w:jc w:val="center"/>
        </w:trPr>
        <w:tc>
          <w:tcPr>
            <w:tcW w:w="1570" w:type="pct"/>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1570" w:type="pct"/>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50</w:t>
            </w:r>
          </w:p>
        </w:tc>
        <w:tc>
          <w:tcPr>
            <w:tcW w:w="1859" w:type="pct"/>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50</w:t>
            </w:r>
          </w:p>
        </w:tc>
      </w:tr>
      <w:tr>
        <w:trPr>
          <w:trHeight w:val="270" w:hRule="atLeast"/>
          <w:jc w:val="center"/>
        </w:trPr>
        <w:tc>
          <w:tcPr>
            <w:tcW w:w="1570" w:type="pct"/>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3.0</w:t>
            </w:r>
          </w:p>
        </w:tc>
        <w:tc>
          <w:tcPr>
            <w:tcW w:w="1570" w:type="pct"/>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10</w:t>
            </w:r>
          </w:p>
        </w:tc>
        <w:tc>
          <w:tcPr>
            <w:tcW w:w="1859" w:type="pct"/>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90</w:t>
            </w:r>
          </w:p>
        </w:tc>
      </w:tr>
      <w:tr>
        <w:trPr>
          <w:trHeight w:val="270" w:hRule="atLeast"/>
          <w:jc w:val="center"/>
        </w:trPr>
        <w:tc>
          <w:tcPr>
            <w:tcW w:w="1570" w:type="pct"/>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7.0</w:t>
            </w:r>
          </w:p>
        </w:tc>
        <w:tc>
          <w:tcPr>
            <w:tcW w:w="1570" w:type="pct"/>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10</w:t>
            </w:r>
          </w:p>
        </w:tc>
        <w:tc>
          <w:tcPr>
            <w:tcW w:w="1859" w:type="pct"/>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90</w:t>
            </w:r>
          </w:p>
        </w:tc>
      </w:tr>
      <w:tr>
        <w:trPr>
          <w:trHeight w:val="300" w:hRule="atLeast"/>
          <w:jc w:val="center"/>
        </w:trPr>
        <w:tc>
          <w:tcPr>
            <w:tcW w:w="1570" w:type="pct"/>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7.1</w:t>
            </w:r>
          </w:p>
        </w:tc>
        <w:tc>
          <w:tcPr>
            <w:tcW w:w="1570" w:type="pct"/>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50</w:t>
            </w:r>
          </w:p>
        </w:tc>
        <w:tc>
          <w:tcPr>
            <w:tcW w:w="1859" w:type="pct"/>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50</w:t>
            </w:r>
          </w:p>
        </w:tc>
      </w:tr>
      <w:tr>
        <w:trPr>
          <w:trHeight w:val="285" w:hRule="atLeast"/>
          <w:jc w:val="center"/>
        </w:trPr>
        <w:tc>
          <w:tcPr>
            <w:tcW w:w="1570" w:type="pct"/>
            <w:tcBorders>
              <w:top w:val="nil"/>
              <w:left w:val="nil"/>
              <w:bottom w:val="single" w:color="auto" w:sz="8" w:space="0"/>
              <w:right w:val="nil"/>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10.0</w:t>
            </w:r>
          </w:p>
        </w:tc>
        <w:tc>
          <w:tcPr>
            <w:tcW w:w="1570" w:type="pct"/>
            <w:tcBorders>
              <w:top w:val="nil"/>
              <w:left w:val="nil"/>
              <w:bottom w:val="single" w:color="auto" w:sz="8" w:space="0"/>
              <w:right w:val="nil"/>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50</w:t>
            </w:r>
          </w:p>
        </w:tc>
        <w:tc>
          <w:tcPr>
            <w:tcW w:w="1859" w:type="pct"/>
            <w:tcBorders>
              <w:top w:val="nil"/>
              <w:left w:val="nil"/>
              <w:bottom w:val="single" w:color="auto" w:sz="8" w:space="0"/>
              <w:right w:val="nil"/>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50</w:t>
            </w:r>
          </w:p>
        </w:tc>
      </w:tr>
    </w:tbl>
    <w:p>
      <w:pPr>
        <w:snapToGrid w:val="0"/>
        <w:spacing w:line="30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流速：0.3 mL/min；</w:t>
      </w:r>
    </w:p>
    <w:p>
      <w:pPr>
        <w:snapToGrid w:val="0"/>
        <w:spacing w:line="30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柱温：40 ℃；</w:t>
      </w:r>
    </w:p>
    <w:p>
      <w:pPr>
        <w:snapToGrid w:val="0"/>
        <w:spacing w:line="30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进样量：2 </w:t>
      </w:r>
      <w:r>
        <w:rPr>
          <w:rFonts w:ascii="Times New Roman" w:hAnsi="Times New Roman" w:eastAsia="宋体" w:cs="Times New Roman"/>
          <w:szCs w:val="21"/>
        </w:rPr>
        <w:sym w:font="Symbol" w:char="006D"/>
      </w:r>
      <w:r>
        <w:rPr>
          <w:rFonts w:ascii="Times New Roman" w:hAnsi="Times New Roman" w:eastAsia="宋体" w:cs="Times New Roman"/>
          <w:szCs w:val="21"/>
        </w:rPr>
        <w:t>L。</w:t>
      </w:r>
    </w:p>
    <w:p>
      <w:pPr>
        <w:snapToGrid w:val="0"/>
        <w:spacing w:line="300" w:lineRule="auto"/>
        <w:rPr>
          <w:rFonts w:ascii="Times New Roman" w:hAnsi="Times New Roman" w:eastAsia="宋体" w:cs="Times New Roman"/>
          <w:szCs w:val="21"/>
        </w:rPr>
      </w:pPr>
      <w:r>
        <w:rPr>
          <w:rFonts w:ascii="Times New Roman" w:hAnsi="Times New Roman" w:eastAsia="宋体" w:cs="Times New Roman"/>
          <w:szCs w:val="21"/>
        </w:rPr>
        <w:t>5.4.2</w:t>
      </w:r>
      <w:r>
        <w:rPr>
          <w:rFonts w:hint="eastAsia" w:ascii="Times New Roman" w:hAnsi="Times New Roman" w:eastAsia="宋体" w:cs="Times New Roman"/>
          <w:szCs w:val="21"/>
        </w:rPr>
        <w:t xml:space="preserve"> </w:t>
      </w:r>
      <w:r>
        <w:rPr>
          <w:rFonts w:ascii="Times New Roman" w:hAnsi="Times New Roman" w:eastAsia="宋体" w:cs="Times New Roman"/>
          <w:szCs w:val="21"/>
        </w:rPr>
        <w:t>质谱条件</w:t>
      </w:r>
    </w:p>
    <w:p>
      <w:pPr>
        <w:snapToGrid w:val="0"/>
        <w:spacing w:line="30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离子源：电喷雾离子源（ESI源）； </w:t>
      </w:r>
    </w:p>
    <w:p>
      <w:pPr>
        <w:snapToGrid w:val="0"/>
        <w:spacing w:line="30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监测模式：正、负离子多反应监测模式，监测离子对及相关参数设定见表</w:t>
      </w:r>
      <w:r>
        <w:rPr>
          <w:rFonts w:hint="eastAsia" w:ascii="Times New Roman" w:hAnsi="Times New Roman" w:eastAsia="宋体" w:cs="Times New Roman"/>
          <w:szCs w:val="21"/>
        </w:rPr>
        <w:t xml:space="preserve"> </w:t>
      </w:r>
      <w:r>
        <w:rPr>
          <w:rFonts w:ascii="Times New Roman" w:hAnsi="Times New Roman" w:eastAsia="宋体" w:cs="Times New Roman"/>
          <w:szCs w:val="21"/>
        </w:rPr>
        <w:t>2</w:t>
      </w:r>
      <w:r>
        <w:rPr>
          <w:rFonts w:hint="eastAsia" w:ascii="Times New Roman" w:hAnsi="Times New Roman" w:eastAsia="宋体" w:cs="Times New Roman"/>
          <w:szCs w:val="21"/>
        </w:rPr>
        <w:t xml:space="preserve"> </w:t>
      </w:r>
      <w:r>
        <w:rPr>
          <w:rFonts w:ascii="Times New Roman" w:hAnsi="Times New Roman" w:eastAsia="宋体" w:cs="Times New Roman"/>
          <w:szCs w:val="21"/>
        </w:rPr>
        <w:t>（可根据仪器情况进行调整）。</w:t>
      </w:r>
    </w:p>
    <w:p>
      <w:pPr>
        <w:spacing w:before="124" w:beforeLines="40" w:after="124" w:afterLines="40" w:line="300" w:lineRule="auto"/>
        <w:jc w:val="center"/>
        <w:rPr>
          <w:rFonts w:ascii="黑体" w:hAnsi="黑体" w:eastAsia="黑体" w:cs="黑体"/>
          <w:szCs w:val="21"/>
        </w:rPr>
      </w:pPr>
      <w:r>
        <w:rPr>
          <w:rFonts w:hint="eastAsia" w:ascii="黑体" w:hAnsi="黑体" w:eastAsia="黑体" w:cs="黑体"/>
          <w:szCs w:val="21"/>
        </w:rPr>
        <w:t>表2 6种原料监测离子对及相关参数设定表</w:t>
      </w:r>
    </w:p>
    <w:tbl>
      <w:tblPr>
        <w:tblStyle w:val="8"/>
        <w:tblW w:w="5000" w:type="pct"/>
        <w:tblInd w:w="0" w:type="dxa"/>
        <w:tblLayout w:type="autofit"/>
        <w:tblCellMar>
          <w:top w:w="0" w:type="dxa"/>
          <w:left w:w="108" w:type="dxa"/>
          <w:bottom w:w="0" w:type="dxa"/>
          <w:right w:w="108" w:type="dxa"/>
        </w:tblCellMar>
      </w:tblPr>
      <w:tblGrid>
        <w:gridCol w:w="636"/>
        <w:gridCol w:w="1947"/>
        <w:gridCol w:w="1056"/>
        <w:gridCol w:w="1581"/>
        <w:gridCol w:w="1581"/>
        <w:gridCol w:w="1721"/>
      </w:tblGrid>
      <w:tr>
        <w:trPr>
          <w:trHeight w:val="280" w:hRule="atLeast"/>
          <w:tblHeader/>
        </w:trPr>
        <w:tc>
          <w:tcPr>
            <w:tcW w:w="356" w:type="pct"/>
            <w:tcBorders>
              <w:top w:val="single" w:color="auto" w:sz="8" w:space="0"/>
              <w:left w:val="nil"/>
              <w:bottom w:val="single" w:color="auto" w:sz="8" w:space="0"/>
              <w:right w:val="nil"/>
            </w:tcBorders>
            <w:shd w:val="clear" w:color="auto" w:fill="auto"/>
            <w:noWrap/>
            <w:vAlign w:val="center"/>
          </w:tcPr>
          <w:p>
            <w:pPr>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序号</w:t>
            </w:r>
          </w:p>
        </w:tc>
        <w:tc>
          <w:tcPr>
            <w:tcW w:w="1359" w:type="pct"/>
            <w:tcBorders>
              <w:top w:val="single" w:color="auto" w:sz="8" w:space="0"/>
              <w:left w:val="nil"/>
              <w:bottom w:val="single" w:color="auto" w:sz="8" w:space="0"/>
              <w:right w:val="nil"/>
            </w:tcBorders>
            <w:shd w:val="clear" w:color="auto" w:fill="auto"/>
            <w:noWrap/>
            <w:vAlign w:val="center"/>
          </w:tcPr>
          <w:p>
            <w:pPr>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中文名称</w:t>
            </w:r>
          </w:p>
        </w:tc>
        <w:tc>
          <w:tcPr>
            <w:tcW w:w="586" w:type="pct"/>
            <w:tcBorders>
              <w:top w:val="single" w:color="auto" w:sz="8" w:space="0"/>
              <w:left w:val="nil"/>
              <w:bottom w:val="single" w:color="auto" w:sz="8" w:space="0"/>
              <w:right w:val="nil"/>
            </w:tcBorders>
            <w:shd w:val="clear" w:color="auto" w:fill="auto"/>
            <w:noWrap/>
            <w:vAlign w:val="center"/>
          </w:tcPr>
          <w:p>
            <w:pPr>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离子形式</w:t>
            </w:r>
          </w:p>
        </w:tc>
        <w:tc>
          <w:tcPr>
            <w:tcW w:w="873" w:type="pct"/>
            <w:tcBorders>
              <w:top w:val="single" w:color="auto" w:sz="8" w:space="0"/>
              <w:left w:val="nil"/>
              <w:bottom w:val="single" w:color="auto" w:sz="8" w:space="0"/>
              <w:right w:val="nil"/>
            </w:tcBorders>
            <w:shd w:val="clear" w:color="auto" w:fill="auto"/>
            <w:noWrap/>
            <w:vAlign w:val="center"/>
          </w:tcPr>
          <w:p>
            <w:pPr>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母离子（m/z）</w:t>
            </w:r>
          </w:p>
        </w:tc>
        <w:tc>
          <w:tcPr>
            <w:tcW w:w="873" w:type="pct"/>
            <w:tcBorders>
              <w:top w:val="single" w:color="auto" w:sz="8" w:space="0"/>
              <w:left w:val="nil"/>
              <w:bottom w:val="single" w:color="auto" w:sz="8" w:space="0"/>
              <w:right w:val="nil"/>
            </w:tcBorders>
            <w:shd w:val="clear" w:color="auto" w:fill="auto"/>
            <w:noWrap/>
            <w:vAlign w:val="center"/>
          </w:tcPr>
          <w:p>
            <w:pPr>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子离子（m/z）</w:t>
            </w:r>
          </w:p>
        </w:tc>
        <w:tc>
          <w:tcPr>
            <w:tcW w:w="950" w:type="pct"/>
            <w:tcBorders>
              <w:top w:val="single" w:color="auto" w:sz="8" w:space="0"/>
              <w:left w:val="nil"/>
              <w:bottom w:val="single" w:color="auto" w:sz="8" w:space="0"/>
              <w:right w:val="nil"/>
            </w:tcBorders>
            <w:shd w:val="clear" w:color="auto" w:fill="auto"/>
            <w:noWrap/>
            <w:vAlign w:val="center"/>
          </w:tcPr>
          <w:p>
            <w:pPr>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碰撞能量（eV）</w:t>
            </w:r>
          </w:p>
        </w:tc>
      </w:tr>
      <w:tr>
        <w:trPr>
          <w:trHeight w:val="280" w:hRule="atLeast"/>
        </w:trPr>
        <w:tc>
          <w:tcPr>
            <w:tcW w:w="356" w:type="pct"/>
            <w:vMerge w:val="restart"/>
            <w:tcBorders>
              <w:top w:val="single" w:color="auto" w:sz="8" w:space="0"/>
              <w:left w:val="nil"/>
              <w:right w:val="nil"/>
            </w:tcBorders>
            <w:shd w:val="clear" w:color="auto" w:fill="auto"/>
            <w:noWrap/>
            <w:vAlign w:val="center"/>
          </w:tcPr>
          <w:p>
            <w:pPr>
              <w:widowControl/>
              <w:spacing w:before="156" w:after="156"/>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359" w:type="pct"/>
            <w:vMerge w:val="restart"/>
            <w:tcBorders>
              <w:top w:val="single" w:color="auto" w:sz="8" w:space="0"/>
              <w:left w:val="nil"/>
              <w:right w:val="nil"/>
            </w:tcBorders>
            <w:shd w:val="clear" w:color="auto" w:fill="auto"/>
            <w:noWrap/>
            <w:vAlign w:val="center"/>
          </w:tcPr>
          <w:p>
            <w:pPr>
              <w:widowControl/>
              <w:spacing w:before="156" w:after="156"/>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次大麻二酚</w:t>
            </w:r>
          </w:p>
        </w:tc>
        <w:tc>
          <w:tcPr>
            <w:tcW w:w="586" w:type="pct"/>
            <w:vMerge w:val="restart"/>
            <w:tcBorders>
              <w:top w:val="single" w:color="auto" w:sz="8" w:space="0"/>
              <w:left w:val="nil"/>
              <w:right w:val="nil"/>
            </w:tcBorders>
            <w:shd w:val="clear" w:color="auto" w:fill="auto"/>
            <w:noWrap/>
            <w:vAlign w:val="center"/>
          </w:tcPr>
          <w:p>
            <w:pPr>
              <w:widowControl/>
              <w:spacing w:before="156" w:after="156"/>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[M+H]</w:t>
            </w:r>
            <w:r>
              <w:rPr>
                <w:rFonts w:ascii="Times New Roman" w:hAnsi="Times New Roman" w:eastAsia="宋体" w:cs="Times New Roman"/>
                <w:color w:val="000000"/>
                <w:kern w:val="0"/>
                <w:szCs w:val="21"/>
                <w:vertAlign w:val="superscript"/>
              </w:rPr>
              <w:t>+</w:t>
            </w:r>
          </w:p>
        </w:tc>
        <w:tc>
          <w:tcPr>
            <w:tcW w:w="873" w:type="pct"/>
            <w:tcBorders>
              <w:top w:val="single" w:color="auto" w:sz="8" w:space="0"/>
              <w:left w:val="nil"/>
              <w:bottom w:val="nil"/>
              <w:right w:val="nil"/>
            </w:tcBorders>
            <w:shd w:val="clear" w:color="auto" w:fill="auto"/>
            <w:noWrap/>
            <w:vAlign w:val="center"/>
          </w:tcPr>
          <w:p>
            <w:pPr>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287.1</w:t>
            </w:r>
          </w:p>
        </w:tc>
        <w:tc>
          <w:tcPr>
            <w:tcW w:w="873" w:type="pct"/>
            <w:tcBorders>
              <w:top w:val="single" w:color="auto" w:sz="8" w:space="0"/>
              <w:left w:val="nil"/>
              <w:bottom w:val="nil"/>
              <w:right w:val="nil"/>
            </w:tcBorders>
            <w:shd w:val="clear" w:color="auto" w:fill="auto"/>
            <w:noWrap/>
            <w:vAlign w:val="center"/>
          </w:tcPr>
          <w:p>
            <w:pPr>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165.1*</w:t>
            </w:r>
          </w:p>
        </w:tc>
        <w:tc>
          <w:tcPr>
            <w:tcW w:w="950" w:type="pct"/>
            <w:tcBorders>
              <w:top w:val="single" w:color="auto" w:sz="8" w:space="0"/>
              <w:left w:val="nil"/>
              <w:bottom w:val="nil"/>
              <w:right w:val="nil"/>
            </w:tcBorders>
            <w:shd w:val="clear" w:color="auto" w:fill="auto"/>
            <w:noWrap/>
            <w:vAlign w:val="center"/>
          </w:tcPr>
          <w:p>
            <w:pPr>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30</w:t>
            </w:r>
          </w:p>
        </w:tc>
      </w:tr>
      <w:tr>
        <w:trPr>
          <w:trHeight w:val="280" w:hRule="atLeast"/>
        </w:trPr>
        <w:tc>
          <w:tcPr>
            <w:tcW w:w="356" w:type="pct"/>
            <w:vMerge w:val="continue"/>
            <w:tcBorders>
              <w:left w:val="nil"/>
              <w:bottom w:val="nil"/>
              <w:right w:val="nil"/>
            </w:tcBorders>
            <w:shd w:val="clear" w:color="auto" w:fill="auto"/>
            <w:noWrap/>
            <w:vAlign w:val="center"/>
          </w:tcPr>
          <w:p>
            <w:pPr>
              <w:widowControl/>
              <w:spacing w:before="156" w:after="156"/>
              <w:jc w:val="center"/>
              <w:rPr>
                <w:rFonts w:ascii="Times New Roman" w:hAnsi="Times New Roman" w:eastAsia="宋体" w:cs="Times New Roman"/>
                <w:color w:val="000000"/>
                <w:kern w:val="0"/>
                <w:szCs w:val="21"/>
              </w:rPr>
            </w:pPr>
          </w:p>
        </w:tc>
        <w:tc>
          <w:tcPr>
            <w:tcW w:w="1359" w:type="pct"/>
            <w:vMerge w:val="continue"/>
            <w:tcBorders>
              <w:left w:val="nil"/>
              <w:bottom w:val="nil"/>
              <w:right w:val="nil"/>
            </w:tcBorders>
            <w:shd w:val="clear" w:color="auto" w:fill="auto"/>
            <w:noWrap/>
            <w:vAlign w:val="center"/>
          </w:tcPr>
          <w:p>
            <w:pPr>
              <w:widowControl/>
              <w:spacing w:before="156" w:after="156"/>
              <w:jc w:val="center"/>
              <w:rPr>
                <w:rFonts w:ascii="Times New Roman" w:hAnsi="Times New Roman" w:eastAsia="宋体" w:cs="Times New Roman"/>
                <w:color w:val="000000"/>
                <w:kern w:val="0"/>
                <w:szCs w:val="21"/>
              </w:rPr>
            </w:pPr>
          </w:p>
        </w:tc>
        <w:tc>
          <w:tcPr>
            <w:tcW w:w="586" w:type="pct"/>
            <w:vMerge w:val="continue"/>
            <w:tcBorders>
              <w:left w:val="nil"/>
              <w:bottom w:val="nil"/>
              <w:right w:val="nil"/>
            </w:tcBorders>
            <w:shd w:val="clear" w:color="auto" w:fill="auto"/>
            <w:noWrap/>
            <w:vAlign w:val="center"/>
          </w:tcPr>
          <w:p>
            <w:pPr>
              <w:widowControl/>
              <w:spacing w:before="156" w:after="156"/>
              <w:jc w:val="center"/>
              <w:rPr>
                <w:rFonts w:ascii="Times New Roman" w:hAnsi="Times New Roman" w:eastAsia="宋体" w:cs="Times New Roman"/>
                <w:color w:val="000000"/>
                <w:kern w:val="0"/>
                <w:szCs w:val="21"/>
              </w:rPr>
            </w:pPr>
          </w:p>
        </w:tc>
        <w:tc>
          <w:tcPr>
            <w:tcW w:w="873" w:type="pct"/>
            <w:tcBorders>
              <w:top w:val="nil"/>
              <w:left w:val="nil"/>
              <w:bottom w:val="nil"/>
              <w:right w:val="nil"/>
            </w:tcBorders>
            <w:shd w:val="clear" w:color="auto" w:fill="auto"/>
            <w:noWrap/>
            <w:vAlign w:val="center"/>
          </w:tcPr>
          <w:p>
            <w:pPr>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287.1</w:t>
            </w:r>
          </w:p>
        </w:tc>
        <w:tc>
          <w:tcPr>
            <w:tcW w:w="873" w:type="pct"/>
            <w:tcBorders>
              <w:top w:val="nil"/>
              <w:left w:val="nil"/>
              <w:bottom w:val="nil"/>
              <w:right w:val="nil"/>
            </w:tcBorders>
            <w:shd w:val="clear" w:color="auto" w:fill="auto"/>
            <w:noWrap/>
            <w:vAlign w:val="center"/>
          </w:tcPr>
          <w:p>
            <w:pPr>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123.0</w:t>
            </w:r>
          </w:p>
        </w:tc>
        <w:tc>
          <w:tcPr>
            <w:tcW w:w="950" w:type="pct"/>
            <w:tcBorders>
              <w:top w:val="nil"/>
              <w:left w:val="nil"/>
              <w:bottom w:val="nil"/>
              <w:right w:val="nil"/>
            </w:tcBorders>
            <w:shd w:val="clear" w:color="auto" w:fill="auto"/>
            <w:noWrap/>
            <w:vAlign w:val="center"/>
          </w:tcPr>
          <w:p>
            <w:pPr>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40</w:t>
            </w:r>
          </w:p>
        </w:tc>
      </w:tr>
      <w:tr>
        <w:trPr>
          <w:trHeight w:val="280" w:hRule="atLeast"/>
        </w:trPr>
        <w:tc>
          <w:tcPr>
            <w:tcW w:w="356" w:type="pct"/>
            <w:vMerge w:val="restart"/>
            <w:tcBorders>
              <w:top w:val="nil"/>
              <w:left w:val="nil"/>
              <w:right w:val="nil"/>
            </w:tcBorders>
            <w:shd w:val="clear" w:color="auto" w:fill="auto"/>
            <w:noWrap/>
            <w:vAlign w:val="center"/>
          </w:tcPr>
          <w:p>
            <w:pPr>
              <w:widowControl/>
              <w:spacing w:before="156" w:after="156"/>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359" w:type="pct"/>
            <w:vMerge w:val="restart"/>
            <w:tcBorders>
              <w:top w:val="nil"/>
              <w:left w:val="nil"/>
              <w:right w:val="nil"/>
            </w:tcBorders>
            <w:shd w:val="clear" w:color="auto" w:fill="auto"/>
            <w:noWrap/>
            <w:vAlign w:val="center"/>
          </w:tcPr>
          <w:p>
            <w:pPr>
              <w:widowControl/>
              <w:spacing w:before="156" w:after="156"/>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大麻二酚</w:t>
            </w:r>
          </w:p>
        </w:tc>
        <w:tc>
          <w:tcPr>
            <w:tcW w:w="586" w:type="pct"/>
            <w:vMerge w:val="restart"/>
            <w:tcBorders>
              <w:top w:val="nil"/>
              <w:left w:val="nil"/>
              <w:right w:val="nil"/>
            </w:tcBorders>
            <w:shd w:val="clear" w:color="auto" w:fill="auto"/>
            <w:noWrap/>
            <w:vAlign w:val="center"/>
          </w:tcPr>
          <w:p>
            <w:pPr>
              <w:widowControl/>
              <w:spacing w:before="156" w:after="156"/>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[M+H]</w:t>
            </w:r>
            <w:r>
              <w:rPr>
                <w:rFonts w:ascii="Times New Roman" w:hAnsi="Times New Roman" w:eastAsia="宋体" w:cs="Times New Roman"/>
                <w:color w:val="000000"/>
                <w:kern w:val="0"/>
                <w:szCs w:val="21"/>
                <w:vertAlign w:val="superscript"/>
              </w:rPr>
              <w:t>+</w:t>
            </w:r>
          </w:p>
        </w:tc>
        <w:tc>
          <w:tcPr>
            <w:tcW w:w="873" w:type="pct"/>
            <w:tcBorders>
              <w:top w:val="nil"/>
              <w:left w:val="nil"/>
              <w:bottom w:val="nil"/>
              <w:right w:val="nil"/>
            </w:tcBorders>
            <w:shd w:val="clear" w:color="auto" w:fill="auto"/>
            <w:noWrap/>
            <w:vAlign w:val="center"/>
          </w:tcPr>
          <w:p>
            <w:pPr>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314.9</w:t>
            </w:r>
          </w:p>
        </w:tc>
        <w:tc>
          <w:tcPr>
            <w:tcW w:w="873" w:type="pct"/>
            <w:tcBorders>
              <w:top w:val="nil"/>
              <w:left w:val="nil"/>
              <w:bottom w:val="nil"/>
              <w:right w:val="nil"/>
            </w:tcBorders>
            <w:shd w:val="clear" w:color="auto" w:fill="auto"/>
            <w:noWrap/>
            <w:vAlign w:val="center"/>
          </w:tcPr>
          <w:p>
            <w:pPr>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193.3*</w:t>
            </w:r>
          </w:p>
        </w:tc>
        <w:tc>
          <w:tcPr>
            <w:tcW w:w="950" w:type="pct"/>
            <w:tcBorders>
              <w:top w:val="nil"/>
              <w:left w:val="nil"/>
              <w:bottom w:val="nil"/>
              <w:right w:val="nil"/>
            </w:tcBorders>
            <w:shd w:val="clear" w:color="auto" w:fill="auto"/>
            <w:noWrap/>
            <w:vAlign w:val="center"/>
          </w:tcPr>
          <w:p>
            <w:pPr>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30</w:t>
            </w:r>
          </w:p>
        </w:tc>
      </w:tr>
      <w:tr>
        <w:trPr>
          <w:trHeight w:val="280" w:hRule="atLeast"/>
        </w:trPr>
        <w:tc>
          <w:tcPr>
            <w:tcW w:w="356" w:type="pct"/>
            <w:vMerge w:val="continue"/>
            <w:tcBorders>
              <w:left w:val="nil"/>
              <w:bottom w:val="nil"/>
              <w:right w:val="nil"/>
            </w:tcBorders>
            <w:shd w:val="clear" w:color="auto" w:fill="auto"/>
            <w:noWrap/>
            <w:vAlign w:val="center"/>
          </w:tcPr>
          <w:p>
            <w:pPr>
              <w:widowControl/>
              <w:spacing w:before="156" w:after="156"/>
              <w:jc w:val="center"/>
              <w:rPr>
                <w:rFonts w:ascii="Times New Roman" w:hAnsi="Times New Roman" w:eastAsia="宋体" w:cs="Times New Roman"/>
                <w:color w:val="000000"/>
                <w:kern w:val="0"/>
                <w:szCs w:val="21"/>
              </w:rPr>
            </w:pPr>
          </w:p>
        </w:tc>
        <w:tc>
          <w:tcPr>
            <w:tcW w:w="1359" w:type="pct"/>
            <w:vMerge w:val="continue"/>
            <w:tcBorders>
              <w:left w:val="nil"/>
              <w:bottom w:val="nil"/>
              <w:right w:val="nil"/>
            </w:tcBorders>
            <w:shd w:val="clear" w:color="auto" w:fill="auto"/>
            <w:noWrap/>
            <w:vAlign w:val="center"/>
          </w:tcPr>
          <w:p>
            <w:pPr>
              <w:widowControl/>
              <w:spacing w:before="156" w:after="156"/>
              <w:jc w:val="center"/>
              <w:rPr>
                <w:rFonts w:ascii="Times New Roman" w:hAnsi="Times New Roman" w:eastAsia="宋体" w:cs="Times New Roman"/>
                <w:color w:val="000000"/>
                <w:kern w:val="0"/>
                <w:szCs w:val="21"/>
              </w:rPr>
            </w:pPr>
          </w:p>
        </w:tc>
        <w:tc>
          <w:tcPr>
            <w:tcW w:w="586" w:type="pct"/>
            <w:vMerge w:val="continue"/>
            <w:tcBorders>
              <w:left w:val="nil"/>
              <w:bottom w:val="nil"/>
              <w:right w:val="nil"/>
            </w:tcBorders>
            <w:shd w:val="clear" w:color="auto" w:fill="auto"/>
            <w:noWrap/>
            <w:vAlign w:val="center"/>
          </w:tcPr>
          <w:p>
            <w:pPr>
              <w:widowControl/>
              <w:spacing w:before="156" w:after="156"/>
              <w:jc w:val="center"/>
              <w:rPr>
                <w:rFonts w:ascii="Times New Roman" w:hAnsi="Times New Roman" w:eastAsia="宋体" w:cs="Times New Roman"/>
                <w:color w:val="000000"/>
                <w:kern w:val="0"/>
                <w:szCs w:val="21"/>
              </w:rPr>
            </w:pPr>
          </w:p>
        </w:tc>
        <w:tc>
          <w:tcPr>
            <w:tcW w:w="873" w:type="pct"/>
            <w:tcBorders>
              <w:top w:val="nil"/>
              <w:left w:val="nil"/>
              <w:bottom w:val="nil"/>
              <w:right w:val="nil"/>
            </w:tcBorders>
            <w:shd w:val="clear" w:color="auto" w:fill="auto"/>
            <w:noWrap/>
            <w:vAlign w:val="center"/>
          </w:tcPr>
          <w:p>
            <w:pPr>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314.9</w:t>
            </w:r>
          </w:p>
        </w:tc>
        <w:tc>
          <w:tcPr>
            <w:tcW w:w="873" w:type="pct"/>
            <w:tcBorders>
              <w:top w:val="nil"/>
              <w:left w:val="nil"/>
              <w:bottom w:val="nil"/>
              <w:right w:val="nil"/>
            </w:tcBorders>
            <w:shd w:val="clear" w:color="auto" w:fill="auto"/>
            <w:noWrap/>
            <w:vAlign w:val="center"/>
          </w:tcPr>
          <w:p>
            <w:pPr>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135.1</w:t>
            </w:r>
          </w:p>
        </w:tc>
        <w:tc>
          <w:tcPr>
            <w:tcW w:w="950" w:type="pct"/>
            <w:tcBorders>
              <w:top w:val="nil"/>
              <w:left w:val="nil"/>
              <w:bottom w:val="nil"/>
              <w:right w:val="nil"/>
            </w:tcBorders>
            <w:shd w:val="clear" w:color="auto" w:fill="auto"/>
            <w:noWrap/>
            <w:vAlign w:val="center"/>
          </w:tcPr>
          <w:p>
            <w:pPr>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27</w:t>
            </w:r>
          </w:p>
        </w:tc>
      </w:tr>
      <w:tr>
        <w:trPr>
          <w:trHeight w:val="280" w:hRule="atLeast"/>
        </w:trPr>
        <w:tc>
          <w:tcPr>
            <w:tcW w:w="356" w:type="pct"/>
            <w:vMerge w:val="restart"/>
            <w:tcBorders>
              <w:top w:val="nil"/>
              <w:left w:val="nil"/>
              <w:right w:val="nil"/>
            </w:tcBorders>
            <w:shd w:val="clear" w:color="auto" w:fill="auto"/>
            <w:noWrap/>
            <w:vAlign w:val="center"/>
          </w:tcPr>
          <w:p>
            <w:pPr>
              <w:widowControl/>
              <w:spacing w:before="156" w:after="156"/>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w:t>
            </w:r>
          </w:p>
        </w:tc>
        <w:tc>
          <w:tcPr>
            <w:tcW w:w="1359" w:type="pct"/>
            <w:vMerge w:val="restart"/>
            <w:tcBorders>
              <w:top w:val="nil"/>
              <w:left w:val="nil"/>
              <w:right w:val="nil"/>
            </w:tcBorders>
            <w:shd w:val="clear" w:color="auto" w:fill="auto"/>
            <w:vAlign w:val="center"/>
          </w:tcPr>
          <w:p>
            <w:pPr>
              <w:widowControl/>
              <w:spacing w:before="156" w:after="156"/>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大麻酚</w:t>
            </w:r>
          </w:p>
        </w:tc>
        <w:tc>
          <w:tcPr>
            <w:tcW w:w="586" w:type="pct"/>
            <w:vMerge w:val="restart"/>
            <w:tcBorders>
              <w:top w:val="nil"/>
              <w:left w:val="nil"/>
              <w:right w:val="nil"/>
            </w:tcBorders>
            <w:shd w:val="clear" w:color="auto" w:fill="auto"/>
            <w:noWrap/>
            <w:vAlign w:val="center"/>
          </w:tcPr>
          <w:p>
            <w:pPr>
              <w:widowControl/>
              <w:spacing w:before="156" w:after="156"/>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[M+H]</w:t>
            </w:r>
            <w:r>
              <w:rPr>
                <w:rFonts w:ascii="Times New Roman" w:hAnsi="Times New Roman" w:eastAsia="宋体" w:cs="Times New Roman"/>
                <w:color w:val="000000"/>
                <w:kern w:val="0"/>
                <w:szCs w:val="21"/>
                <w:vertAlign w:val="superscript"/>
              </w:rPr>
              <w:t>+</w:t>
            </w:r>
          </w:p>
        </w:tc>
        <w:tc>
          <w:tcPr>
            <w:tcW w:w="873" w:type="pct"/>
            <w:tcBorders>
              <w:top w:val="nil"/>
              <w:left w:val="nil"/>
              <w:bottom w:val="nil"/>
              <w:right w:val="nil"/>
            </w:tcBorders>
            <w:shd w:val="clear" w:color="auto" w:fill="auto"/>
            <w:noWrap/>
            <w:vAlign w:val="center"/>
          </w:tcPr>
          <w:p>
            <w:pPr>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311.4</w:t>
            </w:r>
          </w:p>
        </w:tc>
        <w:tc>
          <w:tcPr>
            <w:tcW w:w="873" w:type="pct"/>
            <w:tcBorders>
              <w:top w:val="nil"/>
              <w:left w:val="nil"/>
              <w:bottom w:val="nil"/>
              <w:right w:val="nil"/>
            </w:tcBorders>
            <w:shd w:val="clear" w:color="auto" w:fill="auto"/>
            <w:noWrap/>
            <w:vAlign w:val="center"/>
          </w:tcPr>
          <w:p>
            <w:pPr>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222.9*</w:t>
            </w:r>
          </w:p>
        </w:tc>
        <w:tc>
          <w:tcPr>
            <w:tcW w:w="950" w:type="pct"/>
            <w:tcBorders>
              <w:top w:val="nil"/>
              <w:left w:val="nil"/>
              <w:bottom w:val="nil"/>
              <w:right w:val="nil"/>
            </w:tcBorders>
            <w:shd w:val="clear" w:color="auto" w:fill="auto"/>
            <w:noWrap/>
            <w:vAlign w:val="center"/>
          </w:tcPr>
          <w:p>
            <w:pPr>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28</w:t>
            </w:r>
          </w:p>
        </w:tc>
      </w:tr>
      <w:tr>
        <w:trPr>
          <w:trHeight w:val="280" w:hRule="atLeast"/>
        </w:trPr>
        <w:tc>
          <w:tcPr>
            <w:tcW w:w="356" w:type="pct"/>
            <w:vMerge w:val="continue"/>
            <w:tcBorders>
              <w:left w:val="nil"/>
              <w:bottom w:val="nil"/>
              <w:right w:val="nil"/>
            </w:tcBorders>
            <w:shd w:val="clear" w:color="auto" w:fill="auto"/>
            <w:noWrap/>
            <w:vAlign w:val="center"/>
          </w:tcPr>
          <w:p>
            <w:pPr>
              <w:widowControl/>
              <w:spacing w:before="156" w:after="156"/>
              <w:jc w:val="center"/>
              <w:rPr>
                <w:rFonts w:ascii="Times New Roman" w:hAnsi="Times New Roman" w:eastAsia="宋体" w:cs="Times New Roman"/>
                <w:color w:val="000000"/>
                <w:kern w:val="0"/>
                <w:szCs w:val="21"/>
              </w:rPr>
            </w:pPr>
          </w:p>
        </w:tc>
        <w:tc>
          <w:tcPr>
            <w:tcW w:w="1359" w:type="pct"/>
            <w:vMerge w:val="continue"/>
            <w:tcBorders>
              <w:left w:val="nil"/>
              <w:bottom w:val="nil"/>
              <w:right w:val="nil"/>
            </w:tcBorders>
            <w:shd w:val="clear" w:color="auto" w:fill="auto"/>
            <w:vAlign w:val="center"/>
          </w:tcPr>
          <w:p>
            <w:pPr>
              <w:widowControl/>
              <w:spacing w:before="156" w:after="156"/>
              <w:jc w:val="center"/>
              <w:rPr>
                <w:rFonts w:ascii="Times New Roman" w:hAnsi="Times New Roman" w:eastAsia="宋体" w:cs="Times New Roman"/>
                <w:color w:val="000000"/>
                <w:kern w:val="0"/>
                <w:szCs w:val="21"/>
              </w:rPr>
            </w:pPr>
          </w:p>
        </w:tc>
        <w:tc>
          <w:tcPr>
            <w:tcW w:w="586" w:type="pct"/>
            <w:vMerge w:val="continue"/>
            <w:tcBorders>
              <w:left w:val="nil"/>
              <w:bottom w:val="nil"/>
              <w:right w:val="nil"/>
            </w:tcBorders>
            <w:shd w:val="clear" w:color="auto" w:fill="auto"/>
            <w:noWrap/>
            <w:vAlign w:val="center"/>
          </w:tcPr>
          <w:p>
            <w:pPr>
              <w:widowControl/>
              <w:spacing w:before="156" w:after="156"/>
              <w:jc w:val="center"/>
              <w:rPr>
                <w:rFonts w:ascii="Times New Roman" w:hAnsi="Times New Roman" w:eastAsia="宋体" w:cs="Times New Roman"/>
                <w:color w:val="000000"/>
                <w:kern w:val="0"/>
                <w:szCs w:val="21"/>
              </w:rPr>
            </w:pPr>
          </w:p>
        </w:tc>
        <w:tc>
          <w:tcPr>
            <w:tcW w:w="873" w:type="pct"/>
            <w:tcBorders>
              <w:top w:val="nil"/>
              <w:left w:val="nil"/>
              <w:bottom w:val="nil"/>
              <w:right w:val="nil"/>
            </w:tcBorders>
            <w:shd w:val="clear" w:color="auto" w:fill="auto"/>
            <w:noWrap/>
            <w:vAlign w:val="center"/>
          </w:tcPr>
          <w:p>
            <w:pPr>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311.4</w:t>
            </w:r>
          </w:p>
        </w:tc>
        <w:tc>
          <w:tcPr>
            <w:tcW w:w="873" w:type="pct"/>
            <w:tcBorders>
              <w:top w:val="nil"/>
              <w:left w:val="nil"/>
              <w:bottom w:val="nil"/>
              <w:right w:val="nil"/>
            </w:tcBorders>
            <w:shd w:val="clear" w:color="auto" w:fill="auto"/>
            <w:noWrap/>
            <w:vAlign w:val="center"/>
          </w:tcPr>
          <w:p>
            <w:pPr>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195.1</w:t>
            </w:r>
          </w:p>
        </w:tc>
        <w:tc>
          <w:tcPr>
            <w:tcW w:w="950" w:type="pct"/>
            <w:tcBorders>
              <w:top w:val="nil"/>
              <w:left w:val="nil"/>
              <w:bottom w:val="nil"/>
              <w:right w:val="nil"/>
            </w:tcBorders>
            <w:shd w:val="clear" w:color="auto" w:fill="auto"/>
            <w:noWrap/>
            <w:vAlign w:val="center"/>
          </w:tcPr>
          <w:p>
            <w:pPr>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35</w:t>
            </w:r>
          </w:p>
        </w:tc>
      </w:tr>
      <w:tr>
        <w:trPr>
          <w:trHeight w:val="280" w:hRule="atLeast"/>
        </w:trPr>
        <w:tc>
          <w:tcPr>
            <w:tcW w:w="356" w:type="pct"/>
            <w:vMerge w:val="restart"/>
            <w:tcBorders>
              <w:top w:val="nil"/>
              <w:left w:val="nil"/>
              <w:right w:val="nil"/>
            </w:tcBorders>
            <w:shd w:val="clear" w:color="auto" w:fill="auto"/>
            <w:noWrap/>
            <w:vAlign w:val="center"/>
          </w:tcPr>
          <w:p>
            <w:pPr>
              <w:widowControl/>
              <w:spacing w:before="156" w:after="156"/>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w:t>
            </w:r>
          </w:p>
        </w:tc>
        <w:tc>
          <w:tcPr>
            <w:tcW w:w="1359" w:type="pct"/>
            <w:vMerge w:val="restart"/>
            <w:tcBorders>
              <w:top w:val="nil"/>
              <w:left w:val="nil"/>
              <w:right w:val="nil"/>
            </w:tcBorders>
            <w:shd w:val="clear" w:color="auto" w:fill="auto"/>
            <w:noWrap/>
            <w:vAlign w:val="center"/>
          </w:tcPr>
          <w:p>
            <w:pPr>
              <w:widowControl/>
              <w:spacing w:before="156" w:after="156"/>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Δ</w:t>
            </w:r>
            <w:r>
              <w:rPr>
                <w:rFonts w:ascii="Times New Roman" w:hAnsi="Times New Roman" w:eastAsia="宋体" w:cs="Times New Roman"/>
                <w:color w:val="000000"/>
                <w:kern w:val="0"/>
                <w:szCs w:val="21"/>
                <w:vertAlign w:val="superscript"/>
              </w:rPr>
              <w:t>9</w:t>
            </w:r>
            <w:r>
              <w:rPr>
                <w:rFonts w:ascii="Times New Roman" w:hAnsi="Times New Roman" w:eastAsia="宋体" w:cs="Times New Roman"/>
                <w:color w:val="000000"/>
                <w:kern w:val="0"/>
                <w:szCs w:val="21"/>
              </w:rPr>
              <w:t>-四氢大麻酚</w:t>
            </w:r>
          </w:p>
        </w:tc>
        <w:tc>
          <w:tcPr>
            <w:tcW w:w="586" w:type="pct"/>
            <w:vMerge w:val="restart"/>
            <w:tcBorders>
              <w:top w:val="nil"/>
              <w:left w:val="nil"/>
              <w:right w:val="nil"/>
            </w:tcBorders>
            <w:shd w:val="clear" w:color="auto" w:fill="auto"/>
            <w:noWrap/>
            <w:vAlign w:val="center"/>
          </w:tcPr>
          <w:p>
            <w:pPr>
              <w:widowControl/>
              <w:spacing w:before="156" w:after="156"/>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[M+H]</w:t>
            </w:r>
            <w:r>
              <w:rPr>
                <w:rFonts w:ascii="Times New Roman" w:hAnsi="Times New Roman" w:eastAsia="宋体" w:cs="Times New Roman"/>
                <w:color w:val="000000"/>
                <w:kern w:val="0"/>
                <w:szCs w:val="21"/>
                <w:vertAlign w:val="superscript"/>
              </w:rPr>
              <w:t>+</w:t>
            </w:r>
          </w:p>
        </w:tc>
        <w:tc>
          <w:tcPr>
            <w:tcW w:w="873" w:type="pct"/>
            <w:tcBorders>
              <w:top w:val="nil"/>
              <w:left w:val="nil"/>
              <w:bottom w:val="nil"/>
              <w:right w:val="nil"/>
            </w:tcBorders>
            <w:shd w:val="clear" w:color="auto" w:fill="auto"/>
            <w:noWrap/>
            <w:vAlign w:val="center"/>
          </w:tcPr>
          <w:p>
            <w:pPr>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315.0</w:t>
            </w:r>
          </w:p>
        </w:tc>
        <w:tc>
          <w:tcPr>
            <w:tcW w:w="873" w:type="pct"/>
            <w:tcBorders>
              <w:top w:val="nil"/>
              <w:left w:val="nil"/>
              <w:bottom w:val="nil"/>
              <w:right w:val="nil"/>
            </w:tcBorders>
            <w:shd w:val="clear" w:color="auto" w:fill="auto"/>
            <w:noWrap/>
            <w:vAlign w:val="center"/>
          </w:tcPr>
          <w:p>
            <w:pPr>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193.3*</w:t>
            </w:r>
          </w:p>
        </w:tc>
        <w:tc>
          <w:tcPr>
            <w:tcW w:w="950" w:type="pct"/>
            <w:tcBorders>
              <w:top w:val="nil"/>
              <w:left w:val="nil"/>
              <w:bottom w:val="nil"/>
              <w:right w:val="nil"/>
            </w:tcBorders>
            <w:shd w:val="clear" w:color="auto" w:fill="auto"/>
            <w:noWrap/>
            <w:vAlign w:val="center"/>
          </w:tcPr>
          <w:p>
            <w:pPr>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30</w:t>
            </w:r>
          </w:p>
        </w:tc>
      </w:tr>
      <w:tr>
        <w:trPr>
          <w:trHeight w:val="280" w:hRule="atLeast"/>
        </w:trPr>
        <w:tc>
          <w:tcPr>
            <w:tcW w:w="356" w:type="pct"/>
            <w:vMerge w:val="continue"/>
            <w:tcBorders>
              <w:left w:val="nil"/>
              <w:bottom w:val="nil"/>
              <w:right w:val="nil"/>
            </w:tcBorders>
            <w:shd w:val="clear" w:color="auto" w:fill="auto"/>
            <w:noWrap/>
            <w:vAlign w:val="center"/>
          </w:tcPr>
          <w:p>
            <w:pPr>
              <w:widowControl/>
              <w:spacing w:before="156" w:after="156"/>
              <w:jc w:val="center"/>
              <w:rPr>
                <w:rFonts w:ascii="Times New Roman" w:hAnsi="Times New Roman" w:eastAsia="宋体" w:cs="Times New Roman"/>
                <w:color w:val="000000"/>
                <w:kern w:val="0"/>
                <w:szCs w:val="21"/>
              </w:rPr>
            </w:pPr>
          </w:p>
        </w:tc>
        <w:tc>
          <w:tcPr>
            <w:tcW w:w="1359" w:type="pct"/>
            <w:vMerge w:val="continue"/>
            <w:tcBorders>
              <w:left w:val="nil"/>
              <w:bottom w:val="nil"/>
              <w:right w:val="nil"/>
            </w:tcBorders>
            <w:shd w:val="clear" w:color="auto" w:fill="auto"/>
            <w:noWrap/>
            <w:vAlign w:val="center"/>
          </w:tcPr>
          <w:p>
            <w:pPr>
              <w:widowControl/>
              <w:spacing w:before="156" w:after="156"/>
              <w:jc w:val="center"/>
              <w:rPr>
                <w:rFonts w:ascii="Times New Roman" w:hAnsi="Times New Roman" w:eastAsia="宋体" w:cs="Times New Roman"/>
                <w:color w:val="000000"/>
                <w:kern w:val="0"/>
                <w:szCs w:val="21"/>
              </w:rPr>
            </w:pPr>
          </w:p>
        </w:tc>
        <w:tc>
          <w:tcPr>
            <w:tcW w:w="586" w:type="pct"/>
            <w:vMerge w:val="continue"/>
            <w:tcBorders>
              <w:left w:val="nil"/>
              <w:bottom w:val="nil"/>
              <w:right w:val="nil"/>
            </w:tcBorders>
            <w:shd w:val="clear" w:color="auto" w:fill="auto"/>
            <w:noWrap/>
            <w:vAlign w:val="center"/>
          </w:tcPr>
          <w:p>
            <w:pPr>
              <w:widowControl/>
              <w:spacing w:before="156" w:after="156"/>
              <w:jc w:val="center"/>
              <w:rPr>
                <w:rFonts w:ascii="Times New Roman" w:hAnsi="Times New Roman" w:eastAsia="宋体" w:cs="Times New Roman"/>
                <w:color w:val="000000"/>
                <w:kern w:val="0"/>
                <w:szCs w:val="21"/>
              </w:rPr>
            </w:pPr>
          </w:p>
        </w:tc>
        <w:tc>
          <w:tcPr>
            <w:tcW w:w="873" w:type="pct"/>
            <w:tcBorders>
              <w:top w:val="nil"/>
              <w:left w:val="nil"/>
              <w:bottom w:val="nil"/>
              <w:right w:val="nil"/>
            </w:tcBorders>
            <w:shd w:val="clear" w:color="auto" w:fill="auto"/>
            <w:noWrap/>
            <w:vAlign w:val="center"/>
          </w:tcPr>
          <w:p>
            <w:pPr>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315.0</w:t>
            </w:r>
          </w:p>
        </w:tc>
        <w:tc>
          <w:tcPr>
            <w:tcW w:w="873" w:type="pct"/>
            <w:tcBorders>
              <w:top w:val="nil"/>
              <w:left w:val="nil"/>
              <w:bottom w:val="nil"/>
              <w:right w:val="nil"/>
            </w:tcBorders>
            <w:shd w:val="clear" w:color="auto" w:fill="auto"/>
            <w:noWrap/>
            <w:vAlign w:val="center"/>
          </w:tcPr>
          <w:p>
            <w:pPr>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123.1</w:t>
            </w:r>
          </w:p>
        </w:tc>
        <w:tc>
          <w:tcPr>
            <w:tcW w:w="950" w:type="pct"/>
            <w:tcBorders>
              <w:top w:val="nil"/>
              <w:left w:val="nil"/>
              <w:bottom w:val="nil"/>
              <w:right w:val="nil"/>
            </w:tcBorders>
            <w:shd w:val="clear" w:color="auto" w:fill="auto"/>
            <w:noWrap/>
            <w:vAlign w:val="center"/>
          </w:tcPr>
          <w:p>
            <w:pPr>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41</w:t>
            </w:r>
          </w:p>
        </w:tc>
      </w:tr>
      <w:tr>
        <w:trPr>
          <w:trHeight w:val="280" w:hRule="atLeast"/>
        </w:trPr>
        <w:tc>
          <w:tcPr>
            <w:tcW w:w="356" w:type="pct"/>
            <w:vMerge w:val="restart"/>
            <w:tcBorders>
              <w:top w:val="nil"/>
              <w:left w:val="nil"/>
              <w:right w:val="nil"/>
            </w:tcBorders>
            <w:shd w:val="clear" w:color="auto" w:fill="auto"/>
            <w:noWrap/>
            <w:vAlign w:val="center"/>
          </w:tcPr>
          <w:p>
            <w:pPr>
              <w:widowControl/>
              <w:spacing w:before="156" w:after="156"/>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w:t>
            </w:r>
          </w:p>
        </w:tc>
        <w:tc>
          <w:tcPr>
            <w:tcW w:w="1359" w:type="pct"/>
            <w:vMerge w:val="restart"/>
            <w:tcBorders>
              <w:top w:val="nil"/>
              <w:left w:val="nil"/>
              <w:right w:val="nil"/>
            </w:tcBorders>
            <w:shd w:val="clear" w:color="auto" w:fill="auto"/>
            <w:noWrap/>
            <w:vAlign w:val="center"/>
          </w:tcPr>
          <w:p>
            <w:pPr>
              <w:widowControl/>
              <w:spacing w:before="156" w:after="156"/>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大麻二酚酸</w:t>
            </w:r>
          </w:p>
        </w:tc>
        <w:tc>
          <w:tcPr>
            <w:tcW w:w="586" w:type="pct"/>
            <w:vMerge w:val="restart"/>
            <w:tcBorders>
              <w:top w:val="nil"/>
              <w:left w:val="nil"/>
              <w:right w:val="nil"/>
            </w:tcBorders>
            <w:shd w:val="clear" w:color="auto" w:fill="auto"/>
            <w:noWrap/>
            <w:vAlign w:val="center"/>
          </w:tcPr>
          <w:p>
            <w:pPr>
              <w:widowControl/>
              <w:spacing w:before="156" w:after="156"/>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[M-H]</w:t>
            </w:r>
            <w:r>
              <w:rPr>
                <w:rFonts w:ascii="Times New Roman" w:hAnsi="Times New Roman" w:eastAsia="宋体" w:cs="Times New Roman"/>
                <w:color w:val="000000"/>
                <w:kern w:val="0"/>
                <w:szCs w:val="21"/>
                <w:vertAlign w:val="superscript"/>
              </w:rPr>
              <w:t>-</w:t>
            </w:r>
          </w:p>
        </w:tc>
        <w:tc>
          <w:tcPr>
            <w:tcW w:w="873" w:type="pct"/>
            <w:tcBorders>
              <w:top w:val="nil"/>
              <w:left w:val="nil"/>
              <w:bottom w:val="nil"/>
              <w:right w:val="nil"/>
            </w:tcBorders>
            <w:shd w:val="clear" w:color="auto" w:fill="auto"/>
            <w:noWrap/>
            <w:vAlign w:val="center"/>
          </w:tcPr>
          <w:p>
            <w:pPr>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357.2</w:t>
            </w:r>
          </w:p>
        </w:tc>
        <w:tc>
          <w:tcPr>
            <w:tcW w:w="873" w:type="pct"/>
            <w:tcBorders>
              <w:top w:val="nil"/>
              <w:left w:val="nil"/>
              <w:bottom w:val="nil"/>
              <w:right w:val="nil"/>
            </w:tcBorders>
            <w:shd w:val="clear" w:color="auto" w:fill="auto"/>
            <w:noWrap/>
            <w:vAlign w:val="center"/>
          </w:tcPr>
          <w:p>
            <w:pPr>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339.1*</w:t>
            </w:r>
          </w:p>
        </w:tc>
        <w:tc>
          <w:tcPr>
            <w:tcW w:w="950" w:type="pct"/>
            <w:tcBorders>
              <w:top w:val="nil"/>
              <w:left w:val="nil"/>
              <w:bottom w:val="nil"/>
              <w:right w:val="nil"/>
            </w:tcBorders>
            <w:shd w:val="clear" w:color="auto" w:fill="auto"/>
            <w:noWrap/>
            <w:vAlign w:val="center"/>
          </w:tcPr>
          <w:p>
            <w:pPr>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-30</w:t>
            </w:r>
          </w:p>
        </w:tc>
      </w:tr>
      <w:tr>
        <w:trPr>
          <w:trHeight w:val="280" w:hRule="atLeast"/>
        </w:trPr>
        <w:tc>
          <w:tcPr>
            <w:tcW w:w="356" w:type="pct"/>
            <w:vMerge w:val="continue"/>
            <w:tcBorders>
              <w:left w:val="nil"/>
              <w:bottom w:val="nil"/>
              <w:right w:val="nil"/>
            </w:tcBorders>
            <w:shd w:val="clear" w:color="auto" w:fill="auto"/>
            <w:noWrap/>
            <w:vAlign w:val="center"/>
          </w:tcPr>
          <w:p>
            <w:pPr>
              <w:widowControl/>
              <w:spacing w:before="156" w:after="156"/>
              <w:jc w:val="center"/>
              <w:rPr>
                <w:rFonts w:ascii="Times New Roman" w:hAnsi="Times New Roman" w:eastAsia="宋体" w:cs="Times New Roman"/>
                <w:color w:val="000000"/>
                <w:kern w:val="0"/>
                <w:szCs w:val="21"/>
              </w:rPr>
            </w:pPr>
          </w:p>
        </w:tc>
        <w:tc>
          <w:tcPr>
            <w:tcW w:w="1359" w:type="pct"/>
            <w:vMerge w:val="continue"/>
            <w:tcBorders>
              <w:left w:val="nil"/>
              <w:bottom w:val="nil"/>
              <w:right w:val="nil"/>
            </w:tcBorders>
            <w:shd w:val="clear" w:color="auto" w:fill="auto"/>
            <w:noWrap/>
            <w:vAlign w:val="center"/>
          </w:tcPr>
          <w:p>
            <w:pPr>
              <w:widowControl/>
              <w:spacing w:before="156" w:after="156"/>
              <w:jc w:val="center"/>
              <w:rPr>
                <w:rFonts w:ascii="Times New Roman" w:hAnsi="Times New Roman" w:eastAsia="宋体" w:cs="Times New Roman"/>
                <w:color w:val="000000"/>
                <w:kern w:val="0"/>
                <w:szCs w:val="21"/>
              </w:rPr>
            </w:pPr>
          </w:p>
        </w:tc>
        <w:tc>
          <w:tcPr>
            <w:tcW w:w="586" w:type="pct"/>
            <w:vMerge w:val="continue"/>
            <w:tcBorders>
              <w:left w:val="nil"/>
              <w:bottom w:val="nil"/>
              <w:right w:val="nil"/>
            </w:tcBorders>
            <w:shd w:val="clear" w:color="auto" w:fill="auto"/>
            <w:noWrap/>
            <w:vAlign w:val="center"/>
          </w:tcPr>
          <w:p>
            <w:pPr>
              <w:widowControl/>
              <w:spacing w:before="156" w:after="156"/>
              <w:jc w:val="center"/>
              <w:rPr>
                <w:rFonts w:ascii="Times New Roman" w:hAnsi="Times New Roman" w:eastAsia="宋体" w:cs="Times New Roman"/>
                <w:color w:val="000000"/>
                <w:kern w:val="0"/>
                <w:szCs w:val="21"/>
              </w:rPr>
            </w:pPr>
          </w:p>
        </w:tc>
        <w:tc>
          <w:tcPr>
            <w:tcW w:w="873" w:type="pct"/>
            <w:tcBorders>
              <w:top w:val="nil"/>
              <w:left w:val="nil"/>
              <w:bottom w:val="nil"/>
              <w:right w:val="nil"/>
            </w:tcBorders>
            <w:shd w:val="clear" w:color="auto" w:fill="auto"/>
            <w:noWrap/>
            <w:vAlign w:val="center"/>
          </w:tcPr>
          <w:p>
            <w:pPr>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357.2</w:t>
            </w:r>
          </w:p>
        </w:tc>
        <w:tc>
          <w:tcPr>
            <w:tcW w:w="873" w:type="pct"/>
            <w:tcBorders>
              <w:top w:val="nil"/>
              <w:left w:val="nil"/>
              <w:bottom w:val="nil"/>
              <w:right w:val="nil"/>
            </w:tcBorders>
            <w:shd w:val="clear" w:color="auto" w:fill="auto"/>
            <w:noWrap/>
            <w:vAlign w:val="center"/>
          </w:tcPr>
          <w:p>
            <w:pPr>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245.3</w:t>
            </w:r>
          </w:p>
        </w:tc>
        <w:tc>
          <w:tcPr>
            <w:tcW w:w="950" w:type="pct"/>
            <w:tcBorders>
              <w:top w:val="nil"/>
              <w:left w:val="nil"/>
              <w:bottom w:val="nil"/>
              <w:right w:val="nil"/>
            </w:tcBorders>
            <w:shd w:val="clear" w:color="auto" w:fill="auto"/>
            <w:noWrap/>
            <w:vAlign w:val="center"/>
          </w:tcPr>
          <w:p>
            <w:pPr>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-40</w:t>
            </w:r>
          </w:p>
        </w:tc>
      </w:tr>
      <w:tr>
        <w:trPr>
          <w:trHeight w:val="280" w:hRule="atLeast"/>
        </w:trPr>
        <w:tc>
          <w:tcPr>
            <w:tcW w:w="356" w:type="pct"/>
            <w:vMerge w:val="restart"/>
            <w:tcBorders>
              <w:top w:val="nil"/>
              <w:left w:val="nil"/>
              <w:right w:val="nil"/>
            </w:tcBorders>
            <w:shd w:val="clear" w:color="auto" w:fill="auto"/>
            <w:noWrap/>
            <w:vAlign w:val="center"/>
          </w:tcPr>
          <w:p>
            <w:pPr>
              <w:widowControl/>
              <w:spacing w:before="156" w:after="156"/>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w:t>
            </w:r>
          </w:p>
        </w:tc>
        <w:tc>
          <w:tcPr>
            <w:tcW w:w="1359" w:type="pct"/>
            <w:vMerge w:val="restart"/>
            <w:tcBorders>
              <w:top w:val="nil"/>
              <w:left w:val="nil"/>
              <w:right w:val="nil"/>
            </w:tcBorders>
            <w:shd w:val="clear" w:color="auto" w:fill="auto"/>
            <w:noWrap/>
            <w:vAlign w:val="center"/>
          </w:tcPr>
          <w:p>
            <w:pPr>
              <w:widowControl/>
              <w:spacing w:before="156" w:after="156"/>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四氢大麻酚酸</w:t>
            </w:r>
          </w:p>
        </w:tc>
        <w:tc>
          <w:tcPr>
            <w:tcW w:w="586" w:type="pct"/>
            <w:vMerge w:val="restart"/>
            <w:tcBorders>
              <w:top w:val="nil"/>
              <w:left w:val="nil"/>
              <w:right w:val="nil"/>
            </w:tcBorders>
            <w:shd w:val="clear" w:color="auto" w:fill="auto"/>
            <w:noWrap/>
            <w:vAlign w:val="center"/>
          </w:tcPr>
          <w:p>
            <w:pPr>
              <w:widowControl/>
              <w:spacing w:before="156" w:after="156"/>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[M-H]</w:t>
            </w:r>
            <w:r>
              <w:rPr>
                <w:rFonts w:ascii="Times New Roman" w:hAnsi="Times New Roman" w:eastAsia="宋体" w:cs="Times New Roman"/>
                <w:color w:val="000000"/>
                <w:kern w:val="0"/>
                <w:szCs w:val="21"/>
                <w:vertAlign w:val="superscript"/>
              </w:rPr>
              <w:t>-</w:t>
            </w:r>
          </w:p>
        </w:tc>
        <w:tc>
          <w:tcPr>
            <w:tcW w:w="873" w:type="pct"/>
            <w:tcBorders>
              <w:top w:val="nil"/>
              <w:left w:val="nil"/>
              <w:bottom w:val="nil"/>
              <w:right w:val="nil"/>
            </w:tcBorders>
            <w:shd w:val="clear" w:color="auto" w:fill="auto"/>
            <w:noWrap/>
            <w:vAlign w:val="center"/>
          </w:tcPr>
          <w:p>
            <w:pPr>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357.3</w:t>
            </w:r>
          </w:p>
        </w:tc>
        <w:tc>
          <w:tcPr>
            <w:tcW w:w="873" w:type="pct"/>
            <w:tcBorders>
              <w:top w:val="nil"/>
              <w:left w:val="nil"/>
              <w:bottom w:val="nil"/>
              <w:right w:val="nil"/>
            </w:tcBorders>
            <w:shd w:val="clear" w:color="auto" w:fill="auto"/>
            <w:noWrap/>
            <w:vAlign w:val="center"/>
          </w:tcPr>
          <w:p>
            <w:pPr>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313.4*</w:t>
            </w:r>
          </w:p>
        </w:tc>
        <w:tc>
          <w:tcPr>
            <w:tcW w:w="950" w:type="pct"/>
            <w:tcBorders>
              <w:top w:val="nil"/>
              <w:left w:val="nil"/>
              <w:bottom w:val="nil"/>
              <w:right w:val="nil"/>
            </w:tcBorders>
            <w:shd w:val="clear" w:color="auto" w:fill="auto"/>
            <w:noWrap/>
            <w:vAlign w:val="center"/>
          </w:tcPr>
          <w:p>
            <w:pPr>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-33</w:t>
            </w:r>
          </w:p>
        </w:tc>
      </w:tr>
      <w:tr>
        <w:trPr>
          <w:trHeight w:val="280" w:hRule="atLeast"/>
        </w:trPr>
        <w:tc>
          <w:tcPr>
            <w:tcW w:w="356" w:type="pct"/>
            <w:vMerge w:val="continue"/>
            <w:tcBorders>
              <w:left w:val="nil"/>
              <w:bottom w:val="single" w:color="auto" w:sz="8" w:space="0"/>
              <w:right w:val="nil"/>
            </w:tcBorders>
            <w:shd w:val="clear" w:color="auto" w:fill="auto"/>
            <w:noWrap/>
            <w:vAlign w:val="center"/>
          </w:tcPr>
          <w:p>
            <w:pPr>
              <w:widowControl/>
              <w:spacing w:before="156" w:after="156"/>
              <w:jc w:val="center"/>
              <w:rPr>
                <w:rFonts w:ascii="Times New Roman" w:hAnsi="Times New Roman" w:eastAsia="宋体" w:cs="Times New Roman"/>
                <w:color w:val="000000"/>
                <w:kern w:val="0"/>
                <w:szCs w:val="21"/>
              </w:rPr>
            </w:pPr>
          </w:p>
        </w:tc>
        <w:tc>
          <w:tcPr>
            <w:tcW w:w="1359" w:type="pct"/>
            <w:vMerge w:val="continue"/>
            <w:tcBorders>
              <w:left w:val="nil"/>
              <w:bottom w:val="single" w:color="auto" w:sz="8" w:space="0"/>
              <w:right w:val="nil"/>
            </w:tcBorders>
            <w:shd w:val="clear" w:color="auto" w:fill="auto"/>
            <w:noWrap/>
            <w:vAlign w:val="center"/>
          </w:tcPr>
          <w:p>
            <w:pPr>
              <w:widowControl/>
              <w:spacing w:before="156" w:after="156"/>
              <w:jc w:val="center"/>
              <w:rPr>
                <w:rFonts w:ascii="Times New Roman" w:hAnsi="Times New Roman" w:eastAsia="宋体" w:cs="Times New Roman"/>
                <w:color w:val="000000"/>
                <w:kern w:val="0"/>
                <w:szCs w:val="21"/>
              </w:rPr>
            </w:pPr>
          </w:p>
        </w:tc>
        <w:tc>
          <w:tcPr>
            <w:tcW w:w="586" w:type="pct"/>
            <w:vMerge w:val="continue"/>
            <w:tcBorders>
              <w:left w:val="nil"/>
              <w:bottom w:val="single" w:color="auto" w:sz="8" w:space="0"/>
              <w:right w:val="nil"/>
            </w:tcBorders>
            <w:shd w:val="clear" w:color="auto" w:fill="auto"/>
            <w:noWrap/>
            <w:vAlign w:val="center"/>
          </w:tcPr>
          <w:p>
            <w:pPr>
              <w:widowControl/>
              <w:spacing w:before="156" w:after="156"/>
              <w:jc w:val="center"/>
              <w:rPr>
                <w:rFonts w:ascii="Times New Roman" w:hAnsi="Times New Roman" w:eastAsia="宋体" w:cs="Times New Roman"/>
                <w:color w:val="000000"/>
                <w:kern w:val="0"/>
                <w:szCs w:val="21"/>
              </w:rPr>
            </w:pPr>
          </w:p>
        </w:tc>
        <w:tc>
          <w:tcPr>
            <w:tcW w:w="873" w:type="pct"/>
            <w:tcBorders>
              <w:top w:val="nil"/>
              <w:left w:val="nil"/>
              <w:bottom w:val="single" w:color="auto" w:sz="8" w:space="0"/>
              <w:right w:val="nil"/>
            </w:tcBorders>
            <w:shd w:val="clear" w:color="auto" w:fill="auto"/>
            <w:noWrap/>
            <w:vAlign w:val="center"/>
          </w:tcPr>
          <w:p>
            <w:pPr>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357.3</w:t>
            </w:r>
          </w:p>
        </w:tc>
        <w:tc>
          <w:tcPr>
            <w:tcW w:w="873" w:type="pct"/>
            <w:tcBorders>
              <w:top w:val="nil"/>
              <w:left w:val="nil"/>
              <w:bottom w:val="single" w:color="auto" w:sz="8" w:space="0"/>
              <w:right w:val="nil"/>
            </w:tcBorders>
            <w:shd w:val="clear" w:color="auto" w:fill="auto"/>
            <w:noWrap/>
            <w:vAlign w:val="center"/>
          </w:tcPr>
          <w:p>
            <w:pPr>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245.3</w:t>
            </w:r>
          </w:p>
        </w:tc>
        <w:tc>
          <w:tcPr>
            <w:tcW w:w="950" w:type="pct"/>
            <w:tcBorders>
              <w:top w:val="nil"/>
              <w:left w:val="nil"/>
              <w:bottom w:val="single" w:color="auto" w:sz="8" w:space="0"/>
              <w:right w:val="nil"/>
            </w:tcBorders>
            <w:shd w:val="clear" w:color="auto" w:fill="auto"/>
            <w:noWrap/>
            <w:vAlign w:val="center"/>
          </w:tcPr>
          <w:p>
            <w:pPr>
              <w:spacing w:before="156" w:after="156"/>
              <w:jc w:val="center"/>
              <w:rPr>
                <w:rFonts w:ascii="Times New Roman" w:hAnsi="Times New Roman" w:eastAsia="宋体" w:cs="Times New Roman"/>
                <w:color w:val="000000"/>
                <w:kern w:val="0"/>
                <w:szCs w:val="21"/>
              </w:rPr>
            </w:pPr>
            <w:r>
              <w:rPr>
                <w:rFonts w:ascii="Times New Roman" w:hAnsi="Times New Roman" w:eastAsia="宋体" w:cs="Times New Roman"/>
                <w:color w:val="000000"/>
                <w:szCs w:val="21"/>
              </w:rPr>
              <w:t>-40</w:t>
            </w:r>
          </w:p>
        </w:tc>
      </w:tr>
    </w:tbl>
    <w:p>
      <w:pPr>
        <w:spacing w:line="30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注：大麻二酚酸和四氢大麻酚酸为负离子模式</w:t>
      </w:r>
      <w:r>
        <w:rPr>
          <w:rFonts w:hint="eastAsia" w:ascii="Times New Roman" w:hAnsi="Times New Roman" w:eastAsia="宋体" w:cs="Times New Roman"/>
          <w:szCs w:val="21"/>
        </w:rPr>
        <w:t>。</w:t>
      </w:r>
      <w:r>
        <w:rPr>
          <w:rFonts w:ascii="Times New Roman" w:hAnsi="Times New Roman" w:eastAsia="宋体" w:cs="Times New Roman"/>
          <w:szCs w:val="21"/>
        </w:rPr>
        <w:t>“</w:t>
      </w:r>
      <w:r>
        <w:rPr>
          <w:rFonts w:hint="eastAsia" w:ascii="Times New Roman" w:hAnsi="Times New Roman" w:eastAsia="宋体" w:cs="Times New Roman"/>
          <w:szCs w:val="21"/>
        </w:rPr>
        <w:t>*</w:t>
      </w:r>
      <w:r>
        <w:rPr>
          <w:rFonts w:ascii="Times New Roman" w:hAnsi="Times New Roman" w:eastAsia="宋体" w:cs="Times New Roman"/>
          <w:szCs w:val="21"/>
        </w:rPr>
        <w:t>”为</w:t>
      </w:r>
      <w:r>
        <w:rPr>
          <w:rFonts w:hint="eastAsia" w:ascii="Times New Roman" w:hAnsi="Times New Roman" w:eastAsia="宋体" w:cs="Times New Roman"/>
          <w:szCs w:val="21"/>
        </w:rPr>
        <w:t>推荐的</w:t>
      </w:r>
      <w:r>
        <w:rPr>
          <w:rFonts w:ascii="Times New Roman" w:hAnsi="Times New Roman" w:eastAsia="宋体" w:cs="Times New Roman"/>
          <w:szCs w:val="21"/>
        </w:rPr>
        <w:t>定量离子</w:t>
      </w:r>
      <w:r>
        <w:rPr>
          <w:rFonts w:hint="eastAsia" w:ascii="Times New Roman" w:hAnsi="Times New Roman" w:eastAsia="宋体" w:cs="Times New Roman"/>
          <w:szCs w:val="21"/>
        </w:rPr>
        <w:t>对</w:t>
      </w:r>
      <w:r>
        <w:rPr>
          <w:rFonts w:ascii="Times New Roman" w:hAnsi="Times New Roman" w:eastAsia="宋体" w:cs="Times New Roman"/>
          <w:szCs w:val="21"/>
        </w:rPr>
        <w:t>。</w:t>
      </w:r>
    </w:p>
    <w:p>
      <w:pPr>
        <w:snapToGrid w:val="0"/>
        <w:spacing w:before="156" w:beforeLines="50" w:after="156" w:afterLines="50" w:line="300" w:lineRule="auto"/>
        <w:rPr>
          <w:rFonts w:ascii="Times New Roman" w:hAnsi="Times New Roman" w:eastAsia="宋体" w:cs="Times New Roman"/>
          <w:szCs w:val="21"/>
        </w:rPr>
      </w:pPr>
      <w:r>
        <w:rPr>
          <w:rFonts w:ascii="Times New Roman" w:hAnsi="Times New Roman" w:eastAsia="宋体" w:cs="Times New Roman"/>
          <w:szCs w:val="21"/>
        </w:rPr>
        <w:t>5.5</w:t>
      </w:r>
      <w:r>
        <w:rPr>
          <w:rFonts w:hint="eastAsia" w:ascii="Times New Roman" w:hAnsi="Times New Roman" w:eastAsia="宋体" w:cs="Times New Roman"/>
          <w:szCs w:val="21"/>
        </w:rPr>
        <w:t xml:space="preserve">  </w:t>
      </w:r>
      <w:r>
        <w:rPr>
          <w:rFonts w:ascii="Times New Roman" w:hAnsi="Times New Roman" w:eastAsia="宋体" w:cs="Times New Roman"/>
          <w:szCs w:val="21"/>
        </w:rPr>
        <w:t>定性判定</w:t>
      </w:r>
    </w:p>
    <w:p>
      <w:pPr>
        <w:spacing w:line="30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取筛查用标准溶液（5.1）和样品溶液</w:t>
      </w:r>
      <w:r>
        <w:rPr>
          <w:rFonts w:hint="eastAsia" w:ascii="Times New Roman" w:hAnsi="Times New Roman" w:eastAsia="宋体" w:cs="Times New Roman"/>
          <w:szCs w:val="21"/>
        </w:rPr>
        <w:t>（5.3）</w:t>
      </w:r>
      <w:r>
        <w:rPr>
          <w:rFonts w:ascii="Times New Roman" w:hAnsi="Times New Roman" w:eastAsia="宋体" w:cs="Times New Roman"/>
          <w:szCs w:val="21"/>
        </w:rPr>
        <w:t>，在相同分析条件下测定，样品中如呈现定量离子对和定性离子对的色谱峰，被测原料的特征离子峰保留时间与标准溶液对应的保留时间</w:t>
      </w:r>
      <w:r>
        <w:rPr>
          <w:rFonts w:hint="eastAsia" w:ascii="Times New Roman" w:hAnsi="Times New Roman" w:eastAsia="宋体" w:cs="Times New Roman"/>
          <w:szCs w:val="21"/>
        </w:rPr>
        <w:t>偏差在± 2.5 % 之内</w:t>
      </w:r>
      <w:r>
        <w:rPr>
          <w:rFonts w:ascii="Times New Roman" w:hAnsi="Times New Roman" w:eastAsia="宋体" w:cs="Times New Roman"/>
          <w:szCs w:val="21"/>
        </w:rPr>
        <w:t>，且选择的定性离子的相对丰度比与相当浓度标准品溶液的定性离子的相对丰度比的最大偏差不超过表 3</w:t>
      </w:r>
      <w:r>
        <w:rPr>
          <w:rFonts w:hint="eastAsia" w:ascii="Times New Roman" w:hAnsi="Times New Roman" w:eastAsia="宋体" w:cs="Times New Roman"/>
          <w:szCs w:val="21"/>
        </w:rPr>
        <w:t xml:space="preserve"> </w:t>
      </w:r>
      <w:r>
        <w:rPr>
          <w:rFonts w:ascii="Times New Roman" w:hAnsi="Times New Roman" w:eastAsia="宋体" w:cs="Times New Roman"/>
          <w:szCs w:val="21"/>
        </w:rPr>
        <w:t>的规定，则可以判定样品中存在对应的原料。</w:t>
      </w:r>
    </w:p>
    <w:p>
      <w:pPr>
        <w:spacing w:before="124" w:beforeLines="40" w:after="124" w:afterLines="40" w:line="300" w:lineRule="auto"/>
        <w:jc w:val="center"/>
        <w:rPr>
          <w:rFonts w:ascii="黑体" w:hAnsi="黑体" w:eastAsia="黑体" w:cs="黑体"/>
          <w:szCs w:val="21"/>
        </w:rPr>
      </w:pPr>
      <w:r>
        <w:rPr>
          <w:rFonts w:hint="eastAsia" w:ascii="黑体" w:hAnsi="黑体" w:eastAsia="黑体" w:cs="黑体"/>
          <w:szCs w:val="21"/>
        </w:rPr>
        <w:t>表</w:t>
      </w:r>
      <w:r>
        <w:rPr>
          <w:rFonts w:ascii="Times New Roman" w:hAnsi="Times New Roman" w:eastAsia="黑体" w:cs="Times New Roman"/>
          <w:szCs w:val="21"/>
        </w:rPr>
        <w:t>3</w:t>
      </w:r>
      <w:r>
        <w:rPr>
          <w:rFonts w:hint="eastAsia" w:ascii="黑体" w:hAnsi="黑体" w:eastAsia="黑体" w:cs="黑体"/>
          <w:szCs w:val="21"/>
        </w:rPr>
        <w:t xml:space="preserve"> 定性确证时相对离子丰度的最大允许偏差</w:t>
      </w:r>
    </w:p>
    <w:tbl>
      <w:tblPr>
        <w:tblStyle w:val="8"/>
        <w:tblW w:w="8856" w:type="dxa"/>
        <w:jc w:val="center"/>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272"/>
        <w:gridCol w:w="1647"/>
        <w:gridCol w:w="1737"/>
        <w:gridCol w:w="1776"/>
        <w:gridCol w:w="1424"/>
      </w:tblGrid>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PrEx>
        <w:trPr>
          <w:jc w:val="center"/>
        </w:trPr>
        <w:tc>
          <w:tcPr>
            <w:tcW w:w="2272" w:type="dxa"/>
            <w:tcBorders>
              <w:top w:val="single" w:color="auto" w:sz="4" w:space="0"/>
              <w:left w:val="nil"/>
              <w:bottom w:val="single" w:color="auto" w:sz="4" w:space="0"/>
              <w:right w:val="nil"/>
            </w:tcBorders>
            <w:vAlign w:val="bottom"/>
          </w:tcPr>
          <w:p>
            <w:pPr>
              <w:tabs>
                <w:tab w:val="left" w:pos="5745"/>
              </w:tabs>
              <w:spacing w:before="156" w:after="156"/>
              <w:jc w:val="center"/>
              <w:rPr>
                <w:rFonts w:ascii="宋体" w:hAnsi="宋体" w:eastAsia="宋体" w:cs="宋体"/>
                <w:color w:val="000000"/>
                <w:szCs w:val="21"/>
              </w:rPr>
            </w:pPr>
            <w:r>
              <w:rPr>
                <w:rFonts w:hint="eastAsia" w:ascii="宋体" w:hAnsi="宋体" w:eastAsia="宋体" w:cs="宋体"/>
                <w:color w:val="000000"/>
                <w:szCs w:val="21"/>
              </w:rPr>
              <w:t>相对离子丰度（k）</w:t>
            </w:r>
          </w:p>
        </w:tc>
        <w:tc>
          <w:tcPr>
            <w:tcW w:w="1647" w:type="dxa"/>
            <w:tcBorders>
              <w:top w:val="single" w:color="auto" w:sz="4" w:space="0"/>
              <w:left w:val="nil"/>
              <w:bottom w:val="single" w:color="auto" w:sz="4" w:space="0"/>
              <w:right w:val="nil"/>
            </w:tcBorders>
            <w:vAlign w:val="bottom"/>
          </w:tcPr>
          <w:p>
            <w:pPr>
              <w:tabs>
                <w:tab w:val="left" w:pos="5745"/>
              </w:tabs>
              <w:spacing w:before="156" w:after="156"/>
              <w:jc w:val="center"/>
              <w:rPr>
                <w:rFonts w:ascii="Times New Roman" w:hAnsi="Times New Roman"/>
                <w:color w:val="000000"/>
                <w:szCs w:val="21"/>
              </w:rPr>
            </w:pPr>
            <w:r>
              <w:rPr>
                <w:rFonts w:ascii="Times New Roman" w:hAnsi="Times New Roman"/>
                <w:color w:val="000000"/>
                <w:szCs w:val="21"/>
              </w:rPr>
              <w:t>K</w:t>
            </w:r>
            <w:r>
              <w:rPr>
                <w:rFonts w:hint="eastAsia" w:ascii="Times New Roman" w:hAnsi="Times New Roman"/>
                <w:color w:val="000000"/>
                <w:szCs w:val="21"/>
              </w:rPr>
              <w:t xml:space="preserve"> </w:t>
            </w:r>
            <w:r>
              <w:rPr>
                <w:rFonts w:ascii="Times New Roman" w:hAnsi="Times New Roman"/>
                <w:color w:val="000000"/>
                <w:szCs w:val="21"/>
              </w:rPr>
              <w:t>&gt;</w:t>
            </w:r>
            <w:r>
              <w:rPr>
                <w:rFonts w:hint="eastAsia" w:ascii="Times New Roman" w:hAnsi="Times New Roman"/>
                <w:color w:val="000000"/>
                <w:szCs w:val="21"/>
              </w:rPr>
              <w:t xml:space="preserve"> </w:t>
            </w:r>
            <w:r>
              <w:rPr>
                <w:rFonts w:ascii="Times New Roman" w:hAnsi="Times New Roman"/>
                <w:color w:val="000000"/>
                <w:szCs w:val="21"/>
              </w:rPr>
              <w:t>50</w:t>
            </w:r>
            <w:r>
              <w:rPr>
                <w:rFonts w:hint="eastAsia" w:ascii="Times New Roman" w:hAnsi="Times New Roman"/>
                <w:color w:val="000000"/>
                <w:szCs w:val="21"/>
              </w:rPr>
              <w:t xml:space="preserve"> </w:t>
            </w:r>
            <w:r>
              <w:rPr>
                <w:rFonts w:ascii="Times New Roman" w:hAnsi="Times New Roman"/>
                <w:color w:val="000000"/>
                <w:szCs w:val="21"/>
              </w:rPr>
              <w:t>%</w:t>
            </w:r>
          </w:p>
        </w:tc>
        <w:tc>
          <w:tcPr>
            <w:tcW w:w="1737" w:type="dxa"/>
            <w:tcBorders>
              <w:top w:val="single" w:color="auto" w:sz="4" w:space="0"/>
              <w:left w:val="nil"/>
              <w:bottom w:val="single" w:color="auto" w:sz="4" w:space="0"/>
              <w:right w:val="nil"/>
            </w:tcBorders>
            <w:vAlign w:val="bottom"/>
          </w:tcPr>
          <w:p>
            <w:pPr>
              <w:tabs>
                <w:tab w:val="left" w:pos="5745"/>
              </w:tabs>
              <w:spacing w:before="156" w:after="156"/>
              <w:jc w:val="center"/>
              <w:rPr>
                <w:rFonts w:ascii="Times New Roman" w:hAnsi="Times New Roman"/>
                <w:color w:val="000000"/>
                <w:szCs w:val="21"/>
              </w:rPr>
            </w:pPr>
            <w:r>
              <w:rPr>
                <w:rFonts w:ascii="Times New Roman" w:hAnsi="Times New Roman"/>
                <w:color w:val="000000"/>
                <w:szCs w:val="21"/>
              </w:rPr>
              <w:t>50</w:t>
            </w:r>
            <w:r>
              <w:rPr>
                <w:rFonts w:hint="eastAsia" w:ascii="Times New Roman" w:hAnsi="Times New Roman"/>
                <w:color w:val="000000"/>
                <w:szCs w:val="21"/>
              </w:rPr>
              <w:t xml:space="preserve"> </w:t>
            </w:r>
            <w:r>
              <w:rPr>
                <w:rFonts w:ascii="Times New Roman" w:hAnsi="Times New Roman"/>
                <w:color w:val="000000"/>
                <w:szCs w:val="21"/>
              </w:rPr>
              <w:t>%</w:t>
            </w:r>
            <w:r>
              <w:rPr>
                <w:rFonts w:hint="eastAsia" w:ascii="Times New Roman" w:hAnsi="Times New Roman"/>
                <w:color w:val="000000"/>
                <w:szCs w:val="21"/>
              </w:rPr>
              <w:t xml:space="preserve"> </w:t>
            </w:r>
            <w:r>
              <w:rPr>
                <w:rFonts w:ascii="Times New Roman" w:hAnsi="Times New Roman"/>
                <w:color w:val="000000"/>
                <w:szCs w:val="21"/>
              </w:rPr>
              <w:t>≥</w:t>
            </w:r>
            <w:r>
              <w:rPr>
                <w:rFonts w:hint="eastAsia" w:ascii="Times New Roman" w:hAnsi="Times New Roman"/>
                <w:color w:val="000000"/>
                <w:szCs w:val="21"/>
              </w:rPr>
              <w:t xml:space="preserve"> </w:t>
            </w:r>
            <w:r>
              <w:rPr>
                <w:rFonts w:ascii="Times New Roman" w:hAnsi="Times New Roman"/>
                <w:color w:val="000000"/>
                <w:szCs w:val="21"/>
              </w:rPr>
              <w:t>k</w:t>
            </w:r>
            <w:r>
              <w:rPr>
                <w:rFonts w:hint="eastAsia" w:ascii="Times New Roman" w:hAnsi="Times New Roman"/>
                <w:color w:val="000000"/>
                <w:szCs w:val="21"/>
              </w:rPr>
              <w:t xml:space="preserve"> </w:t>
            </w:r>
            <w:r>
              <w:rPr>
                <w:rFonts w:ascii="Times New Roman" w:hAnsi="Times New Roman"/>
                <w:color w:val="000000"/>
                <w:szCs w:val="21"/>
              </w:rPr>
              <w:t>&gt;</w:t>
            </w:r>
            <w:r>
              <w:rPr>
                <w:rFonts w:hint="eastAsia" w:ascii="Times New Roman" w:hAnsi="Times New Roman"/>
                <w:color w:val="000000"/>
                <w:szCs w:val="21"/>
              </w:rPr>
              <w:t xml:space="preserve"> </w:t>
            </w:r>
            <w:r>
              <w:rPr>
                <w:rFonts w:ascii="Times New Roman" w:hAnsi="Times New Roman"/>
                <w:color w:val="000000"/>
                <w:szCs w:val="21"/>
              </w:rPr>
              <w:t>20</w:t>
            </w:r>
            <w:r>
              <w:rPr>
                <w:rFonts w:hint="eastAsia" w:ascii="Times New Roman" w:hAnsi="Times New Roman"/>
                <w:color w:val="000000"/>
                <w:szCs w:val="21"/>
              </w:rPr>
              <w:t xml:space="preserve"> </w:t>
            </w:r>
            <w:r>
              <w:rPr>
                <w:rFonts w:ascii="Times New Roman" w:hAnsi="Times New Roman"/>
                <w:color w:val="000000"/>
                <w:szCs w:val="21"/>
              </w:rPr>
              <w:t>%</w:t>
            </w:r>
          </w:p>
        </w:tc>
        <w:tc>
          <w:tcPr>
            <w:tcW w:w="1776" w:type="dxa"/>
            <w:tcBorders>
              <w:top w:val="single" w:color="auto" w:sz="4" w:space="0"/>
              <w:left w:val="nil"/>
              <w:bottom w:val="single" w:color="auto" w:sz="4" w:space="0"/>
              <w:right w:val="nil"/>
            </w:tcBorders>
            <w:vAlign w:val="bottom"/>
          </w:tcPr>
          <w:p>
            <w:pPr>
              <w:tabs>
                <w:tab w:val="left" w:pos="5745"/>
              </w:tabs>
              <w:spacing w:before="156" w:after="156"/>
              <w:jc w:val="center"/>
              <w:rPr>
                <w:rFonts w:ascii="Times New Roman" w:hAnsi="Times New Roman"/>
                <w:color w:val="000000"/>
                <w:szCs w:val="21"/>
              </w:rPr>
            </w:pPr>
            <w:r>
              <w:rPr>
                <w:rFonts w:ascii="Times New Roman" w:hAnsi="Times New Roman"/>
                <w:color w:val="000000"/>
                <w:szCs w:val="21"/>
              </w:rPr>
              <w:t>20</w:t>
            </w:r>
            <w:r>
              <w:rPr>
                <w:rFonts w:hint="eastAsia" w:ascii="Times New Roman" w:hAnsi="Times New Roman"/>
                <w:color w:val="000000"/>
                <w:szCs w:val="21"/>
              </w:rPr>
              <w:t xml:space="preserve"> </w:t>
            </w:r>
            <w:r>
              <w:rPr>
                <w:rFonts w:ascii="Times New Roman" w:hAnsi="Times New Roman"/>
                <w:color w:val="000000"/>
                <w:szCs w:val="21"/>
              </w:rPr>
              <w:t>%</w:t>
            </w:r>
            <w:r>
              <w:rPr>
                <w:rFonts w:hint="eastAsia" w:ascii="Times New Roman" w:hAnsi="Times New Roman"/>
                <w:color w:val="000000"/>
                <w:szCs w:val="21"/>
              </w:rPr>
              <w:t xml:space="preserve"> </w:t>
            </w:r>
            <w:r>
              <w:rPr>
                <w:rFonts w:ascii="Times New Roman" w:hAnsi="Times New Roman"/>
                <w:color w:val="000000"/>
                <w:szCs w:val="21"/>
              </w:rPr>
              <w:t>≥</w:t>
            </w:r>
            <w:r>
              <w:rPr>
                <w:rFonts w:hint="eastAsia" w:ascii="Times New Roman" w:hAnsi="Times New Roman"/>
                <w:color w:val="000000"/>
                <w:szCs w:val="21"/>
              </w:rPr>
              <w:t xml:space="preserve"> </w:t>
            </w:r>
            <w:r>
              <w:rPr>
                <w:rFonts w:ascii="Times New Roman" w:hAnsi="Times New Roman"/>
                <w:color w:val="000000"/>
                <w:szCs w:val="21"/>
              </w:rPr>
              <w:t>k</w:t>
            </w:r>
            <w:r>
              <w:rPr>
                <w:rFonts w:hint="eastAsia" w:ascii="Times New Roman" w:hAnsi="Times New Roman"/>
                <w:color w:val="000000"/>
                <w:szCs w:val="21"/>
              </w:rPr>
              <w:t xml:space="preserve"> </w:t>
            </w:r>
            <w:r>
              <w:rPr>
                <w:rFonts w:ascii="Times New Roman" w:hAnsi="Times New Roman"/>
                <w:color w:val="000000"/>
                <w:szCs w:val="21"/>
              </w:rPr>
              <w:t>&gt;</w:t>
            </w:r>
            <w:r>
              <w:rPr>
                <w:rFonts w:hint="eastAsia" w:ascii="Times New Roman" w:hAnsi="Times New Roman"/>
                <w:color w:val="000000"/>
                <w:szCs w:val="21"/>
              </w:rPr>
              <w:t xml:space="preserve"> </w:t>
            </w:r>
            <w:r>
              <w:rPr>
                <w:rFonts w:ascii="Times New Roman" w:hAnsi="Times New Roman"/>
                <w:color w:val="000000"/>
                <w:szCs w:val="21"/>
              </w:rPr>
              <w:t>10</w:t>
            </w:r>
            <w:r>
              <w:rPr>
                <w:rFonts w:hint="eastAsia" w:ascii="Times New Roman" w:hAnsi="Times New Roman"/>
                <w:color w:val="000000"/>
                <w:szCs w:val="21"/>
              </w:rPr>
              <w:t xml:space="preserve"> </w:t>
            </w:r>
            <w:r>
              <w:rPr>
                <w:rFonts w:ascii="Times New Roman" w:hAnsi="Times New Roman"/>
                <w:color w:val="000000"/>
                <w:szCs w:val="21"/>
              </w:rPr>
              <w:t>%</w:t>
            </w:r>
          </w:p>
        </w:tc>
        <w:tc>
          <w:tcPr>
            <w:tcW w:w="1424" w:type="dxa"/>
            <w:tcBorders>
              <w:top w:val="single" w:color="auto" w:sz="4" w:space="0"/>
              <w:left w:val="nil"/>
              <w:bottom w:val="single" w:color="auto" w:sz="4" w:space="0"/>
              <w:right w:val="nil"/>
            </w:tcBorders>
            <w:vAlign w:val="bottom"/>
          </w:tcPr>
          <w:p>
            <w:pPr>
              <w:tabs>
                <w:tab w:val="left" w:pos="5745"/>
              </w:tabs>
              <w:spacing w:before="156" w:after="156"/>
              <w:jc w:val="center"/>
              <w:rPr>
                <w:rFonts w:ascii="Times New Roman" w:hAnsi="Times New Roman"/>
                <w:color w:val="000000"/>
                <w:szCs w:val="21"/>
              </w:rPr>
            </w:pPr>
            <w:r>
              <w:rPr>
                <w:rFonts w:ascii="Times New Roman" w:hAnsi="Times New Roman"/>
                <w:color w:val="000000"/>
                <w:szCs w:val="21"/>
              </w:rPr>
              <w:t>K</w:t>
            </w:r>
            <w:r>
              <w:rPr>
                <w:rFonts w:hint="eastAsia" w:ascii="Times New Roman" w:hAnsi="Times New Roman"/>
                <w:color w:val="000000"/>
                <w:szCs w:val="21"/>
              </w:rPr>
              <w:t xml:space="preserve"> </w:t>
            </w:r>
            <w:r>
              <w:rPr>
                <w:rFonts w:ascii="Times New Roman" w:hAnsi="Times New Roman"/>
                <w:color w:val="000000"/>
                <w:szCs w:val="21"/>
              </w:rPr>
              <w:t>≤</w:t>
            </w:r>
            <w:r>
              <w:rPr>
                <w:rFonts w:hint="eastAsia" w:ascii="Times New Roman" w:hAnsi="Times New Roman"/>
                <w:color w:val="000000"/>
                <w:szCs w:val="21"/>
              </w:rPr>
              <w:t xml:space="preserve"> </w:t>
            </w:r>
            <w:r>
              <w:rPr>
                <w:rFonts w:ascii="Times New Roman" w:hAnsi="Times New Roman"/>
                <w:color w:val="000000"/>
                <w:szCs w:val="21"/>
              </w:rPr>
              <w:t>10</w:t>
            </w:r>
            <w:r>
              <w:rPr>
                <w:rFonts w:hint="eastAsia" w:ascii="Times New Roman" w:hAnsi="Times New Roman"/>
                <w:color w:val="000000"/>
                <w:szCs w:val="21"/>
              </w:rPr>
              <w:t xml:space="preserve"> </w:t>
            </w:r>
            <w:r>
              <w:rPr>
                <w:rFonts w:ascii="Times New Roman" w:hAnsi="Times New Roman"/>
                <w:color w:val="00000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PrEx>
        <w:trPr>
          <w:trHeight w:val="311" w:hRule="atLeast"/>
          <w:jc w:val="center"/>
        </w:trPr>
        <w:tc>
          <w:tcPr>
            <w:tcW w:w="2272" w:type="dxa"/>
            <w:tcBorders>
              <w:top w:val="single" w:color="auto" w:sz="4" w:space="0"/>
              <w:left w:val="nil"/>
              <w:bottom w:val="single" w:color="auto" w:sz="4" w:space="0"/>
              <w:right w:val="nil"/>
            </w:tcBorders>
            <w:vAlign w:val="bottom"/>
          </w:tcPr>
          <w:p>
            <w:pPr>
              <w:tabs>
                <w:tab w:val="left" w:pos="5745"/>
              </w:tabs>
              <w:spacing w:before="156" w:after="156"/>
              <w:jc w:val="center"/>
              <w:rPr>
                <w:rFonts w:ascii="宋体" w:hAnsi="宋体" w:eastAsia="宋体" w:cs="宋体"/>
                <w:color w:val="000000"/>
                <w:szCs w:val="21"/>
              </w:rPr>
            </w:pPr>
            <w:r>
              <w:rPr>
                <w:rFonts w:hint="eastAsia" w:ascii="宋体" w:hAnsi="宋体" w:eastAsia="宋体" w:cs="宋体"/>
                <w:color w:val="000000"/>
                <w:szCs w:val="21"/>
              </w:rPr>
              <w:t>允许的最大偏差</w:t>
            </w:r>
          </w:p>
        </w:tc>
        <w:tc>
          <w:tcPr>
            <w:tcW w:w="1647" w:type="dxa"/>
            <w:tcBorders>
              <w:top w:val="single" w:color="auto" w:sz="4" w:space="0"/>
              <w:left w:val="nil"/>
              <w:bottom w:val="single" w:color="auto" w:sz="4" w:space="0"/>
              <w:right w:val="nil"/>
            </w:tcBorders>
            <w:vAlign w:val="bottom"/>
          </w:tcPr>
          <w:p>
            <w:pPr>
              <w:tabs>
                <w:tab w:val="left" w:pos="5745"/>
              </w:tabs>
              <w:spacing w:before="156" w:after="156"/>
              <w:jc w:val="center"/>
              <w:rPr>
                <w:rFonts w:ascii="Times New Roman" w:hAnsi="Times New Roman"/>
                <w:color w:val="000000"/>
                <w:szCs w:val="21"/>
              </w:rPr>
            </w:pPr>
            <w:r>
              <w:rPr>
                <w:rFonts w:ascii="Times New Roman" w:hAnsi="Times New Roman"/>
                <w:color w:val="000000"/>
                <w:szCs w:val="21"/>
              </w:rPr>
              <w:t>±</w:t>
            </w:r>
            <w:r>
              <w:rPr>
                <w:rFonts w:hint="eastAsia" w:ascii="Times New Roman" w:hAnsi="Times New Roman"/>
                <w:color w:val="000000"/>
                <w:szCs w:val="21"/>
              </w:rPr>
              <w:t xml:space="preserve"> </w:t>
            </w:r>
            <w:r>
              <w:rPr>
                <w:rFonts w:ascii="Times New Roman" w:hAnsi="Times New Roman"/>
                <w:color w:val="000000"/>
                <w:szCs w:val="21"/>
              </w:rPr>
              <w:t>20</w:t>
            </w:r>
            <w:r>
              <w:rPr>
                <w:rFonts w:hint="eastAsia" w:ascii="Times New Roman" w:hAnsi="Times New Roman"/>
                <w:color w:val="000000"/>
                <w:szCs w:val="21"/>
              </w:rPr>
              <w:t xml:space="preserve"> </w:t>
            </w:r>
            <w:r>
              <w:rPr>
                <w:rFonts w:ascii="Times New Roman" w:hAnsi="Times New Roman"/>
                <w:color w:val="000000"/>
                <w:szCs w:val="21"/>
              </w:rPr>
              <w:t>%</w:t>
            </w:r>
          </w:p>
        </w:tc>
        <w:tc>
          <w:tcPr>
            <w:tcW w:w="1737" w:type="dxa"/>
            <w:tcBorders>
              <w:top w:val="single" w:color="auto" w:sz="4" w:space="0"/>
              <w:left w:val="nil"/>
              <w:bottom w:val="single" w:color="auto" w:sz="4" w:space="0"/>
              <w:right w:val="nil"/>
            </w:tcBorders>
            <w:vAlign w:val="bottom"/>
          </w:tcPr>
          <w:p>
            <w:pPr>
              <w:tabs>
                <w:tab w:val="left" w:pos="5745"/>
              </w:tabs>
              <w:spacing w:before="156" w:after="156"/>
              <w:jc w:val="center"/>
              <w:rPr>
                <w:rFonts w:ascii="Times New Roman" w:hAnsi="Times New Roman"/>
                <w:color w:val="000000"/>
                <w:szCs w:val="21"/>
              </w:rPr>
            </w:pPr>
            <w:r>
              <w:rPr>
                <w:rFonts w:ascii="Times New Roman" w:hAnsi="Times New Roman"/>
                <w:color w:val="000000"/>
                <w:szCs w:val="21"/>
              </w:rPr>
              <w:t>±</w:t>
            </w:r>
            <w:r>
              <w:rPr>
                <w:rFonts w:hint="eastAsia" w:ascii="Times New Roman" w:hAnsi="Times New Roman"/>
                <w:color w:val="000000"/>
                <w:szCs w:val="21"/>
              </w:rPr>
              <w:t xml:space="preserve"> </w:t>
            </w:r>
            <w:r>
              <w:rPr>
                <w:rFonts w:ascii="Times New Roman" w:hAnsi="Times New Roman"/>
                <w:color w:val="000000"/>
                <w:szCs w:val="21"/>
              </w:rPr>
              <w:t>25</w:t>
            </w:r>
            <w:r>
              <w:rPr>
                <w:rFonts w:hint="eastAsia" w:ascii="Times New Roman" w:hAnsi="Times New Roman"/>
                <w:color w:val="000000"/>
                <w:szCs w:val="21"/>
              </w:rPr>
              <w:t xml:space="preserve"> </w:t>
            </w:r>
            <w:r>
              <w:rPr>
                <w:rFonts w:ascii="Times New Roman" w:hAnsi="Times New Roman"/>
                <w:color w:val="000000"/>
                <w:szCs w:val="21"/>
              </w:rPr>
              <w:t>%</w:t>
            </w:r>
          </w:p>
        </w:tc>
        <w:tc>
          <w:tcPr>
            <w:tcW w:w="1776" w:type="dxa"/>
            <w:tcBorders>
              <w:top w:val="single" w:color="auto" w:sz="4" w:space="0"/>
              <w:left w:val="nil"/>
              <w:bottom w:val="single" w:color="auto" w:sz="4" w:space="0"/>
              <w:right w:val="nil"/>
            </w:tcBorders>
            <w:vAlign w:val="bottom"/>
          </w:tcPr>
          <w:p>
            <w:pPr>
              <w:tabs>
                <w:tab w:val="left" w:pos="5745"/>
              </w:tabs>
              <w:spacing w:before="156" w:after="156"/>
              <w:jc w:val="center"/>
              <w:rPr>
                <w:rFonts w:ascii="Times New Roman" w:hAnsi="Times New Roman"/>
                <w:color w:val="000000"/>
                <w:szCs w:val="21"/>
              </w:rPr>
            </w:pPr>
            <w:r>
              <w:rPr>
                <w:rFonts w:ascii="Times New Roman" w:hAnsi="Times New Roman"/>
                <w:color w:val="000000"/>
                <w:szCs w:val="21"/>
              </w:rPr>
              <w:t>±</w:t>
            </w:r>
            <w:r>
              <w:rPr>
                <w:rFonts w:hint="eastAsia" w:ascii="Times New Roman" w:hAnsi="Times New Roman"/>
                <w:color w:val="000000"/>
                <w:szCs w:val="21"/>
              </w:rPr>
              <w:t xml:space="preserve"> </w:t>
            </w:r>
            <w:r>
              <w:rPr>
                <w:rFonts w:ascii="Times New Roman" w:hAnsi="Times New Roman"/>
                <w:color w:val="000000"/>
                <w:szCs w:val="21"/>
              </w:rPr>
              <w:t>30</w:t>
            </w:r>
            <w:r>
              <w:rPr>
                <w:rFonts w:hint="eastAsia" w:ascii="Times New Roman" w:hAnsi="Times New Roman"/>
                <w:color w:val="000000"/>
                <w:szCs w:val="21"/>
              </w:rPr>
              <w:t xml:space="preserve"> </w:t>
            </w:r>
            <w:r>
              <w:rPr>
                <w:rFonts w:ascii="Times New Roman" w:hAnsi="Times New Roman"/>
                <w:color w:val="000000"/>
                <w:szCs w:val="21"/>
              </w:rPr>
              <w:t>%</w:t>
            </w:r>
          </w:p>
        </w:tc>
        <w:tc>
          <w:tcPr>
            <w:tcW w:w="1424" w:type="dxa"/>
            <w:tcBorders>
              <w:top w:val="single" w:color="auto" w:sz="4" w:space="0"/>
              <w:left w:val="nil"/>
              <w:bottom w:val="single" w:color="auto" w:sz="4" w:space="0"/>
              <w:right w:val="nil"/>
            </w:tcBorders>
            <w:vAlign w:val="bottom"/>
          </w:tcPr>
          <w:p>
            <w:pPr>
              <w:tabs>
                <w:tab w:val="left" w:pos="5745"/>
              </w:tabs>
              <w:spacing w:before="156" w:after="156"/>
              <w:jc w:val="center"/>
              <w:rPr>
                <w:rFonts w:ascii="Times New Roman" w:hAnsi="Times New Roman"/>
                <w:color w:val="000000"/>
                <w:szCs w:val="21"/>
              </w:rPr>
            </w:pPr>
            <w:r>
              <w:rPr>
                <w:rFonts w:ascii="Times New Roman" w:hAnsi="Times New Roman"/>
                <w:color w:val="000000"/>
                <w:szCs w:val="21"/>
              </w:rPr>
              <w:t>±</w:t>
            </w:r>
            <w:r>
              <w:rPr>
                <w:rFonts w:hint="eastAsia" w:ascii="Times New Roman" w:hAnsi="Times New Roman"/>
                <w:color w:val="000000"/>
                <w:szCs w:val="21"/>
              </w:rPr>
              <w:t xml:space="preserve"> </w:t>
            </w:r>
            <w:r>
              <w:rPr>
                <w:rFonts w:ascii="Times New Roman" w:hAnsi="Times New Roman"/>
                <w:color w:val="000000"/>
                <w:szCs w:val="21"/>
              </w:rPr>
              <w:t>50</w:t>
            </w:r>
            <w:r>
              <w:rPr>
                <w:rFonts w:hint="eastAsia" w:ascii="Times New Roman" w:hAnsi="Times New Roman"/>
                <w:color w:val="000000"/>
                <w:szCs w:val="21"/>
              </w:rPr>
              <w:t xml:space="preserve"> </w:t>
            </w:r>
            <w:r>
              <w:rPr>
                <w:rFonts w:ascii="Times New Roman" w:hAnsi="Times New Roman"/>
                <w:color w:val="000000"/>
                <w:szCs w:val="21"/>
              </w:rPr>
              <w:t>%</w:t>
            </w:r>
          </w:p>
        </w:tc>
      </w:tr>
    </w:tbl>
    <w:p>
      <w:pPr>
        <w:snapToGrid w:val="0"/>
        <w:spacing w:before="156" w:beforeLines="50" w:after="156" w:afterLines="50" w:line="300" w:lineRule="auto"/>
        <w:rPr>
          <w:rFonts w:ascii="Times New Roman" w:hAnsi="Times New Roman" w:eastAsia="宋体" w:cs="Times New Roman"/>
          <w:szCs w:val="21"/>
        </w:rPr>
      </w:pPr>
      <w:r>
        <w:rPr>
          <w:rFonts w:ascii="Times New Roman" w:hAnsi="Times New Roman" w:eastAsia="宋体" w:cs="Times New Roman"/>
          <w:szCs w:val="21"/>
        </w:rPr>
        <w:t>5.6</w:t>
      </w:r>
      <w:r>
        <w:rPr>
          <w:rFonts w:hint="eastAsia" w:ascii="Times New Roman" w:hAnsi="Times New Roman" w:eastAsia="宋体" w:cs="Times New Roman"/>
          <w:szCs w:val="21"/>
        </w:rPr>
        <w:t xml:space="preserve">  </w:t>
      </w:r>
      <w:r>
        <w:rPr>
          <w:rFonts w:ascii="Times New Roman" w:hAnsi="Times New Roman" w:eastAsia="宋体" w:cs="Times New Roman"/>
          <w:szCs w:val="21"/>
        </w:rPr>
        <w:t>定量测定</w:t>
      </w:r>
    </w:p>
    <w:p>
      <w:pPr>
        <w:spacing w:line="30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当定性筛查（5.5）结果为阳性时，需测定含量。取基质标准系列溶液（5.2.2）依次测定，以待测原料的系列浓度为横坐标，待测原料的定量离子对峰面积为纵坐标，进行线性回归，建立基质标准曲线，其线性相关系数（r）应不小于 0.99 。取样品溶液测定，将对应的定量离子对色谱峰面积代入线性回归方程，按“6  计算”项下公式，计算样品中待测原料的含量。</w:t>
      </w:r>
    </w:p>
    <w:p>
      <w:pPr>
        <w:pStyle w:val="2"/>
        <w:snapToGrid w:val="0"/>
        <w:spacing w:before="156" w:beforeLines="50" w:after="156" w:afterLines="50" w:line="300" w:lineRule="auto"/>
        <w:rPr>
          <w:rFonts w:eastAsia="黑体" w:cs="Times New Roman"/>
          <w:b w:val="0"/>
          <w:sz w:val="21"/>
          <w:szCs w:val="21"/>
        </w:rPr>
      </w:pPr>
      <w:r>
        <w:rPr>
          <w:rFonts w:eastAsia="黑体" w:cs="Times New Roman"/>
          <w:b w:val="0"/>
          <w:sz w:val="21"/>
          <w:szCs w:val="21"/>
        </w:rPr>
        <w:t>6</w:t>
      </w:r>
      <w:r>
        <w:rPr>
          <w:rFonts w:hint="eastAsia" w:eastAsia="黑体" w:cs="Times New Roman"/>
          <w:b w:val="0"/>
          <w:sz w:val="21"/>
          <w:szCs w:val="21"/>
        </w:rPr>
        <w:t xml:space="preserve">  </w:t>
      </w:r>
      <w:r>
        <w:rPr>
          <w:rFonts w:eastAsia="黑体" w:cs="Times New Roman"/>
          <w:b w:val="0"/>
          <w:sz w:val="21"/>
          <w:szCs w:val="21"/>
        </w:rPr>
        <w:t>计算</w:t>
      </w:r>
    </w:p>
    <w:p>
      <w:pPr>
        <w:snapToGrid w:val="0"/>
        <w:spacing w:before="156" w:beforeLines="50" w:after="156" w:afterLines="50" w:line="300" w:lineRule="auto"/>
        <w:rPr>
          <w:rFonts w:ascii="Times New Roman" w:hAnsi="Times New Roman" w:eastAsia="宋体" w:cs="Times New Roman"/>
          <w:szCs w:val="21"/>
        </w:rPr>
      </w:pPr>
      <w:r>
        <w:rPr>
          <w:rFonts w:ascii="Times New Roman" w:hAnsi="Times New Roman" w:eastAsia="宋体" w:cs="Times New Roman"/>
          <w:szCs w:val="21"/>
        </w:rPr>
        <w:t xml:space="preserve">6.1 </w:t>
      </w:r>
      <w:r>
        <w:rPr>
          <w:rFonts w:hint="eastAsia" w:ascii="Times New Roman" w:hAnsi="Times New Roman" w:eastAsia="宋体" w:cs="Times New Roman"/>
          <w:szCs w:val="21"/>
        </w:rPr>
        <w:t xml:space="preserve"> </w:t>
      </w:r>
      <w:r>
        <w:rPr>
          <w:rFonts w:ascii="Times New Roman" w:hAnsi="Times New Roman" w:eastAsia="宋体" w:cs="Times New Roman"/>
          <w:szCs w:val="21"/>
        </w:rPr>
        <w:t>计算</w:t>
      </w:r>
    </w:p>
    <w:p>
      <w:pPr>
        <w:spacing w:before="156" w:after="156"/>
        <w:ind w:firstLine="420"/>
        <w:jc w:val="center"/>
        <w:rPr>
          <w:rFonts w:ascii="Times New Roman" w:hAnsi="Times New Roman" w:eastAsia="黑体"/>
          <w:bCs/>
          <w:i/>
          <w:color w:val="000000"/>
          <w:szCs w:val="21"/>
        </w:rPr>
      </w:pPr>
      <m:oMathPara>
        <m:oMath>
          <m:r>
            <m:rPr/>
            <w:rPr>
              <w:rFonts w:ascii="Cambria Math" w:hAnsi="Cambria Math" w:eastAsia="黑体"/>
              <w:color w:val="000000"/>
              <w:szCs w:val="21"/>
            </w:rPr>
            <m:t>ω=</m:t>
          </m:r>
          <m:f>
            <m:fPr>
              <m:ctrlPr>
                <w:rPr>
                  <w:rFonts w:ascii="Cambria Math" w:hAnsi="Cambria Math" w:eastAsia="黑体"/>
                  <w:bCs/>
                  <w:i/>
                  <w:color w:val="000000"/>
                  <w:szCs w:val="21"/>
                </w:rPr>
              </m:ctrlPr>
            </m:fPr>
            <m:num>
              <m:r>
                <m:rPr/>
                <w:rPr>
                  <w:rFonts w:ascii="Cambria Math" w:hAnsi="Cambria Math" w:eastAsia="黑体"/>
                  <w:color w:val="000000"/>
                  <w:szCs w:val="21"/>
                </w:rPr>
                <m:t>ρ×V×D</m:t>
              </m:r>
              <m:ctrlPr>
                <w:rPr>
                  <w:rFonts w:ascii="Cambria Math" w:hAnsi="Cambria Math" w:eastAsia="黑体"/>
                  <w:bCs/>
                  <w:i/>
                  <w:color w:val="000000"/>
                  <w:szCs w:val="21"/>
                </w:rPr>
              </m:ctrlPr>
            </m:num>
            <m:den>
              <m:r>
                <m:rPr/>
                <w:rPr>
                  <w:rFonts w:ascii="Cambria Math" w:hAnsi="Cambria Math" w:eastAsia="黑体"/>
                  <w:color w:val="000000"/>
                  <w:szCs w:val="21"/>
                </w:rPr>
                <m:t>m×1000</m:t>
              </m:r>
              <m:ctrlPr>
                <w:rPr>
                  <w:rFonts w:ascii="Cambria Math" w:hAnsi="Cambria Math" w:eastAsia="黑体"/>
                  <w:bCs/>
                  <w:i/>
                  <w:color w:val="000000"/>
                  <w:szCs w:val="21"/>
                </w:rPr>
              </m:ctrlPr>
            </m:den>
          </m:f>
          <m:r>
            <m:rPr/>
            <w:rPr>
              <w:rFonts w:ascii="Cambria Math" w:hAnsi="Cambria Math" w:eastAsia="黑体"/>
              <w:color w:val="000000"/>
              <w:szCs w:val="21"/>
            </w:rPr>
            <m:t xml:space="preserve"> </m:t>
          </m:r>
        </m:oMath>
      </m:oMathPara>
    </w:p>
    <w:p>
      <w:pPr>
        <w:snapToGrid w:val="0"/>
        <w:spacing w:line="30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式中：</w:t>
      </w:r>
      <w:r>
        <w:rPr>
          <w:rFonts w:ascii="Times New Roman" w:hAnsi="Times New Roman" w:eastAsia="宋体" w:cs="Times New Roman"/>
          <w:i/>
          <w:iCs/>
          <w:szCs w:val="21"/>
        </w:rPr>
        <w:t>ω</w:t>
      </w:r>
      <w:r>
        <w:rPr>
          <w:rFonts w:hint="eastAsia" w:ascii="Times New Roman" w:hAnsi="Times New Roman" w:eastAsia="宋体" w:cs="Times New Roman"/>
          <w:szCs w:val="21"/>
        </w:rPr>
        <w:t xml:space="preserve"> </w:t>
      </w:r>
      <w:r>
        <w:rPr>
          <w:rFonts w:ascii="Times New Roman" w:hAnsi="Times New Roman" w:eastAsia="宋体" w:cs="Times New Roman"/>
          <w:szCs w:val="21"/>
        </w:rPr>
        <w:t>－化妆品中大麻二酚等6种原料的质量分数，µg/g；</w:t>
      </w:r>
    </w:p>
    <w:p>
      <w:pPr>
        <w:snapToGrid w:val="0"/>
        <w:spacing w:line="300" w:lineRule="auto"/>
        <w:ind w:firstLine="1050" w:firstLineChars="500"/>
        <w:rPr>
          <w:rFonts w:ascii="Times New Roman" w:hAnsi="Times New Roman" w:eastAsia="宋体" w:cs="Times New Roman"/>
          <w:i/>
          <w:szCs w:val="21"/>
        </w:rPr>
      </w:pPr>
      <w:r>
        <w:rPr>
          <w:rFonts w:ascii="Times New Roman" w:hAnsi="Times New Roman" w:eastAsia="宋体" w:cs="Times New Roman"/>
          <w:i/>
          <w:szCs w:val="21"/>
        </w:rPr>
        <w:t>ρ</w:t>
      </w:r>
      <w:r>
        <w:rPr>
          <w:rFonts w:ascii="Times New Roman" w:hAnsi="Times New Roman" w:eastAsia="宋体" w:cs="Times New Roman"/>
          <w:szCs w:val="21"/>
        </w:rPr>
        <w:t>－待测溶液中大麻二酚等6种原料的质量浓度，</w:t>
      </w:r>
      <w:r>
        <w:rPr>
          <w:rFonts w:hint="eastAsia" w:ascii="Times New Roman" w:hAnsi="Times New Roman" w:eastAsia="宋体" w:cs="Times New Roman"/>
          <w:szCs w:val="21"/>
        </w:rPr>
        <w:t>ng/mL</w:t>
      </w:r>
      <w:r>
        <w:rPr>
          <w:rFonts w:ascii="Times New Roman" w:hAnsi="Times New Roman" w:eastAsia="宋体" w:cs="Times New Roman"/>
          <w:szCs w:val="21"/>
        </w:rPr>
        <w:t>；</w:t>
      </w:r>
    </w:p>
    <w:p>
      <w:pPr>
        <w:snapToGrid w:val="0"/>
        <w:spacing w:line="300" w:lineRule="auto"/>
        <w:ind w:firstLine="1050" w:firstLineChars="500"/>
        <w:rPr>
          <w:rFonts w:ascii="Times New Roman" w:hAnsi="Times New Roman" w:eastAsia="宋体" w:cs="Times New Roman"/>
          <w:szCs w:val="21"/>
        </w:rPr>
      </w:pPr>
      <w:r>
        <w:rPr>
          <w:rFonts w:ascii="Times New Roman" w:hAnsi="Times New Roman" w:eastAsia="宋体" w:cs="Times New Roman"/>
          <w:i/>
          <w:szCs w:val="21"/>
        </w:rPr>
        <w:t>V</w:t>
      </w:r>
      <w:r>
        <w:rPr>
          <w:rFonts w:hint="eastAsia" w:ascii="Times New Roman" w:hAnsi="Times New Roman" w:eastAsia="宋体" w:cs="Times New Roman"/>
          <w:i/>
          <w:szCs w:val="21"/>
        </w:rPr>
        <w:t xml:space="preserve"> </w:t>
      </w:r>
      <w:r>
        <w:rPr>
          <w:rFonts w:ascii="Times New Roman" w:hAnsi="Times New Roman" w:eastAsia="宋体" w:cs="Times New Roman"/>
          <w:szCs w:val="21"/>
        </w:rPr>
        <w:t>－样品定容体积，mL；</w:t>
      </w:r>
    </w:p>
    <w:p>
      <w:pPr>
        <w:snapToGrid w:val="0"/>
        <w:spacing w:line="300" w:lineRule="auto"/>
        <w:ind w:firstLine="1050" w:firstLineChars="500"/>
        <w:rPr>
          <w:rFonts w:ascii="Times New Roman" w:hAnsi="Times New Roman" w:eastAsia="宋体" w:cs="Times New Roman"/>
          <w:i/>
          <w:szCs w:val="21"/>
        </w:rPr>
      </w:pPr>
      <w:r>
        <w:rPr>
          <w:rFonts w:hint="eastAsia" w:ascii="Times New Roman" w:hAnsi="Times New Roman" w:eastAsia="宋体" w:cs="Times New Roman"/>
          <w:i/>
          <w:szCs w:val="21"/>
        </w:rPr>
        <w:t>m</w:t>
      </w:r>
      <w:r>
        <w:rPr>
          <w:rFonts w:ascii="Times New Roman" w:hAnsi="Times New Roman" w:eastAsia="宋体" w:cs="Times New Roman"/>
          <w:szCs w:val="21"/>
        </w:rPr>
        <w:t>－样品称取量，g；</w:t>
      </w:r>
    </w:p>
    <w:p>
      <w:pPr>
        <w:snapToGrid w:val="0"/>
        <w:spacing w:line="300" w:lineRule="auto"/>
        <w:ind w:firstLine="1050" w:firstLineChars="500"/>
        <w:rPr>
          <w:rFonts w:ascii="Times New Roman" w:hAnsi="Times New Roman" w:eastAsia="宋体" w:cs="Times New Roman"/>
          <w:i/>
          <w:szCs w:val="21"/>
        </w:rPr>
      </w:pPr>
      <w:r>
        <w:rPr>
          <w:rFonts w:ascii="Times New Roman" w:hAnsi="Times New Roman" w:eastAsia="宋体" w:cs="Times New Roman"/>
          <w:i/>
          <w:szCs w:val="21"/>
        </w:rPr>
        <w:t>D</w:t>
      </w:r>
      <w:r>
        <w:rPr>
          <w:rFonts w:hint="eastAsia" w:ascii="Times New Roman" w:hAnsi="Times New Roman" w:eastAsia="宋体" w:cs="Times New Roman"/>
          <w:i/>
          <w:szCs w:val="21"/>
        </w:rPr>
        <w:t xml:space="preserve"> </w:t>
      </w:r>
      <w:r>
        <w:rPr>
          <w:rFonts w:ascii="Times New Roman" w:hAnsi="Times New Roman" w:eastAsia="宋体" w:cs="Times New Roman"/>
          <w:szCs w:val="21"/>
        </w:rPr>
        <w:t>－稀释倍数（不稀释则为1）。</w:t>
      </w:r>
    </w:p>
    <w:p>
      <w:pPr>
        <w:pStyle w:val="12"/>
        <w:snapToGrid w:val="0"/>
        <w:spacing w:line="300" w:lineRule="auto"/>
        <w:ind w:firstLine="420"/>
        <w:jc w:val="both"/>
        <w:rPr>
          <w:rFonts w:ascii="Times New Roman" w:hAnsi="Times New Roman" w:eastAsia="宋体" w:cs="Times New Roman"/>
          <w:kern w:val="2"/>
          <w:szCs w:val="21"/>
        </w:rPr>
      </w:pPr>
      <w:r>
        <w:rPr>
          <w:rFonts w:ascii="Times New Roman" w:hAnsi="Times New Roman" w:eastAsia="宋体"/>
          <w:color w:val="000000"/>
          <w:szCs w:val="21"/>
        </w:rPr>
        <w:t>在重复性条件下</w:t>
      </w:r>
      <w:r>
        <w:rPr>
          <w:rFonts w:ascii="Times New Roman" w:hAnsi="Times New Roman" w:eastAsia="宋体" w:cs="Times New Roman"/>
          <w:kern w:val="2"/>
          <w:szCs w:val="21"/>
        </w:rPr>
        <w:t>获得的两次独立测试结果的绝对差值不得超过算术平均值的15</w:t>
      </w:r>
      <w:r>
        <w:rPr>
          <w:rFonts w:hint="eastAsia" w:ascii="Times New Roman" w:hAnsi="Times New Roman" w:eastAsia="宋体" w:cs="Times New Roman"/>
          <w:kern w:val="2"/>
          <w:szCs w:val="21"/>
        </w:rPr>
        <w:t xml:space="preserve"> </w:t>
      </w:r>
      <w:r>
        <w:rPr>
          <w:rFonts w:ascii="Times New Roman" w:hAnsi="Times New Roman" w:eastAsia="宋体" w:cs="Times New Roman"/>
          <w:kern w:val="2"/>
          <w:szCs w:val="21"/>
        </w:rPr>
        <w:t>%，结果保留2位有效数字。</w:t>
      </w:r>
    </w:p>
    <w:p>
      <w:pPr>
        <w:snapToGrid w:val="0"/>
        <w:spacing w:before="156" w:beforeLines="50" w:after="156" w:afterLines="50" w:line="300" w:lineRule="auto"/>
        <w:rPr>
          <w:rFonts w:ascii="Times New Roman" w:hAnsi="Times New Roman" w:eastAsia="宋体" w:cs="Times New Roman"/>
          <w:szCs w:val="21"/>
        </w:rPr>
      </w:pPr>
      <w:r>
        <w:rPr>
          <w:rFonts w:ascii="Times New Roman" w:hAnsi="Times New Roman" w:eastAsia="宋体" w:cs="Times New Roman"/>
          <w:szCs w:val="21"/>
        </w:rPr>
        <w:t>6.2  回收率和精密度</w:t>
      </w:r>
    </w:p>
    <w:p>
      <w:pPr>
        <w:pStyle w:val="12"/>
        <w:snapToGrid w:val="0"/>
        <w:spacing w:line="300" w:lineRule="auto"/>
        <w:ind w:firstLine="420"/>
        <w:jc w:val="both"/>
        <w:rPr>
          <w:rFonts w:ascii="Times New Roman" w:hAnsi="Times New Roman" w:eastAsia="宋体" w:cs="Times New Roman"/>
          <w:kern w:val="2"/>
          <w:szCs w:val="21"/>
        </w:rPr>
      </w:pPr>
      <w:r>
        <w:rPr>
          <w:rFonts w:ascii="Times New Roman" w:hAnsi="Times New Roman" w:eastAsia="宋体" w:cs="Times New Roman"/>
          <w:kern w:val="2"/>
          <w:szCs w:val="21"/>
        </w:rPr>
        <w:t>多家实验室验证方法回收率为80</w:t>
      </w:r>
      <w:r>
        <w:rPr>
          <w:rFonts w:hint="eastAsia" w:ascii="Times New Roman" w:hAnsi="Times New Roman" w:eastAsia="宋体" w:cs="Times New Roman"/>
          <w:kern w:val="2"/>
          <w:szCs w:val="21"/>
        </w:rPr>
        <w:t xml:space="preserve"> % </w:t>
      </w:r>
      <w:r>
        <w:rPr>
          <w:rFonts w:ascii="Times New Roman" w:hAnsi="Times New Roman" w:eastAsia="宋体" w:cs="Times New Roman"/>
          <w:kern w:val="2"/>
          <w:szCs w:val="21"/>
        </w:rPr>
        <w:t>~</w:t>
      </w:r>
      <w:r>
        <w:rPr>
          <w:rFonts w:hint="eastAsia" w:ascii="Times New Roman" w:hAnsi="Times New Roman" w:eastAsia="宋体" w:cs="Times New Roman"/>
          <w:kern w:val="2"/>
          <w:szCs w:val="21"/>
        </w:rPr>
        <w:t xml:space="preserve"> </w:t>
      </w:r>
      <w:r>
        <w:rPr>
          <w:rFonts w:ascii="Times New Roman" w:hAnsi="Times New Roman" w:eastAsia="宋体" w:cs="Times New Roman"/>
          <w:kern w:val="2"/>
          <w:szCs w:val="21"/>
        </w:rPr>
        <w:t>120</w:t>
      </w:r>
      <w:r>
        <w:rPr>
          <w:rFonts w:hint="eastAsia" w:ascii="Times New Roman" w:hAnsi="Times New Roman" w:eastAsia="宋体" w:cs="Times New Roman"/>
          <w:kern w:val="2"/>
          <w:szCs w:val="21"/>
        </w:rPr>
        <w:t xml:space="preserve"> </w:t>
      </w:r>
      <w:r>
        <w:rPr>
          <w:rFonts w:ascii="Times New Roman" w:hAnsi="Times New Roman" w:eastAsia="宋体" w:cs="Times New Roman"/>
          <w:kern w:val="2"/>
          <w:szCs w:val="21"/>
        </w:rPr>
        <w:t>%，相对标准偏差小于15</w:t>
      </w:r>
      <w:r>
        <w:rPr>
          <w:rFonts w:hint="eastAsia" w:ascii="Times New Roman" w:hAnsi="Times New Roman" w:eastAsia="宋体" w:cs="Times New Roman"/>
          <w:kern w:val="2"/>
          <w:szCs w:val="21"/>
        </w:rPr>
        <w:t xml:space="preserve"> </w:t>
      </w:r>
      <w:r>
        <w:rPr>
          <w:rFonts w:ascii="Times New Roman" w:hAnsi="Times New Roman" w:eastAsia="宋体" w:cs="Times New Roman"/>
          <w:kern w:val="2"/>
          <w:szCs w:val="21"/>
        </w:rPr>
        <w:t>%</w:t>
      </w:r>
      <w:r>
        <w:rPr>
          <w:rFonts w:hint="eastAsia" w:ascii="Times New Roman" w:hAnsi="Times New Roman" w:eastAsia="宋体" w:cs="Times New Roman"/>
          <w:kern w:val="2"/>
          <w:szCs w:val="21"/>
        </w:rPr>
        <w:t>。</w:t>
      </w:r>
    </w:p>
    <w:p>
      <w:pPr>
        <w:pStyle w:val="2"/>
        <w:snapToGrid w:val="0"/>
        <w:spacing w:before="156" w:beforeLines="50" w:after="156" w:afterLines="50" w:line="300" w:lineRule="auto"/>
        <w:rPr>
          <w:rFonts w:eastAsia="黑体" w:cs="Times New Roman"/>
          <w:b w:val="0"/>
          <w:sz w:val="21"/>
          <w:szCs w:val="21"/>
        </w:rPr>
      </w:pPr>
      <w:r>
        <w:rPr>
          <w:rFonts w:hint="eastAsia" w:eastAsia="黑体" w:cs="Times New Roman"/>
          <w:b w:val="0"/>
          <w:sz w:val="21"/>
          <w:szCs w:val="21"/>
        </w:rPr>
        <w:t xml:space="preserve">7  </w:t>
      </w:r>
      <w:r>
        <w:rPr>
          <w:rFonts w:eastAsia="黑体" w:cs="Times New Roman"/>
          <w:b w:val="0"/>
          <w:sz w:val="21"/>
          <w:szCs w:val="21"/>
        </w:rPr>
        <w:t>图谱</w:t>
      </w:r>
    </w:p>
    <w:p>
      <w:pPr>
        <w:spacing w:before="156" w:after="156"/>
        <w:ind w:firstLine="420"/>
        <w:jc w:val="center"/>
        <w:rPr>
          <w:rFonts w:ascii="Times New Roman" w:hAnsi="Times New Roman"/>
          <w:szCs w:val="20"/>
        </w:rPr>
      </w:pPr>
      <w:r>
        <w:rPr>
          <w:rFonts w:ascii="Times New Roman" w:hAnsi="Times New Roman"/>
          <w:szCs w:val="20"/>
        </w:rPr>
        <w:drawing>
          <wp:inline distT="0" distB="0" distL="0" distR="0">
            <wp:extent cx="2425700" cy="1807210"/>
            <wp:effectExtent l="0" t="0" r="1270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425700" cy="1807210"/>
                    </a:xfrm>
                    <a:prstGeom prst="rect">
                      <a:avLst/>
                    </a:prstGeom>
                    <a:noFill/>
                    <a:ln>
                      <a:noFill/>
                    </a:ln>
                  </pic:spPr>
                </pic:pic>
              </a:graphicData>
            </a:graphic>
          </wp:inline>
        </w:drawing>
      </w:r>
    </w:p>
    <w:p>
      <w:pPr>
        <w:snapToGrid w:val="0"/>
        <w:spacing w:before="156" w:beforeLines="50" w:after="156" w:afterLines="50" w:line="300" w:lineRule="auto"/>
        <w:jc w:val="center"/>
        <w:rPr>
          <w:rFonts w:ascii="黑体" w:hAnsi="黑体" w:eastAsia="黑体" w:cs="黑体"/>
          <w:bCs/>
          <w:szCs w:val="21"/>
        </w:rPr>
      </w:pPr>
      <w:r>
        <w:rPr>
          <w:rFonts w:hint="eastAsia" w:ascii="黑体" w:hAnsi="黑体" w:eastAsia="黑体" w:cs="黑体"/>
          <w:bCs/>
          <w:szCs w:val="21"/>
        </w:rPr>
        <w:t>图</w:t>
      </w:r>
      <w:r>
        <w:rPr>
          <w:rFonts w:ascii="Times New Roman" w:hAnsi="Times New Roman" w:eastAsia="黑体" w:cs="Times New Roman"/>
          <w:bCs/>
          <w:szCs w:val="21"/>
        </w:rPr>
        <w:t>1</w:t>
      </w:r>
      <w:r>
        <w:rPr>
          <w:rFonts w:hint="eastAsia" w:ascii="黑体" w:hAnsi="黑体" w:eastAsia="黑体" w:cs="黑体"/>
          <w:bCs/>
          <w:szCs w:val="21"/>
        </w:rPr>
        <w:t xml:space="preserve"> 次大麻二酚（</w:t>
      </w:r>
      <w:r>
        <w:rPr>
          <w:rFonts w:hint="eastAsia" w:ascii="Times New Roman" w:hAnsi="Times New Roman" w:eastAsia="黑体" w:cs="Times New Roman"/>
          <w:bCs/>
          <w:szCs w:val="21"/>
        </w:rPr>
        <w:t>CBDV</w:t>
      </w:r>
      <w:r>
        <w:rPr>
          <w:rFonts w:hint="eastAsia" w:ascii="黑体" w:hAnsi="黑体" w:eastAsia="黑体" w:cs="黑体"/>
          <w:bCs/>
          <w:szCs w:val="21"/>
        </w:rPr>
        <w:t>）的多反应监测色谱图</w:t>
      </w:r>
    </w:p>
    <w:p>
      <w:pPr>
        <w:spacing w:before="156" w:after="156"/>
        <w:ind w:firstLine="420"/>
        <w:jc w:val="center"/>
        <w:rPr>
          <w:rFonts w:ascii="Times New Roman" w:hAnsi="Times New Roman" w:eastAsia="黑体"/>
          <w:color w:val="000000"/>
          <w:szCs w:val="21"/>
        </w:rPr>
      </w:pPr>
      <w:r>
        <w:rPr>
          <w:rFonts w:ascii="Times New Roman" w:hAnsi="Times New Roman"/>
          <w:szCs w:val="20"/>
        </w:rPr>
        <w:drawing>
          <wp:inline distT="0" distB="0" distL="0" distR="0">
            <wp:extent cx="2404745" cy="2367915"/>
            <wp:effectExtent l="0" t="0" r="1460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404872" cy="2368296"/>
                    </a:xfrm>
                    <a:prstGeom prst="rect">
                      <a:avLst/>
                    </a:prstGeom>
                    <a:noFill/>
                    <a:ln>
                      <a:noFill/>
                    </a:ln>
                  </pic:spPr>
                </pic:pic>
              </a:graphicData>
            </a:graphic>
          </wp:inline>
        </w:drawing>
      </w:r>
    </w:p>
    <w:p>
      <w:pPr>
        <w:snapToGrid w:val="0"/>
        <w:spacing w:before="156" w:beforeLines="50" w:after="156" w:afterLines="50" w:line="300" w:lineRule="auto"/>
        <w:jc w:val="center"/>
        <w:rPr>
          <w:rFonts w:ascii="黑体" w:hAnsi="黑体" w:eastAsia="黑体" w:cs="黑体"/>
          <w:bCs/>
          <w:szCs w:val="21"/>
        </w:rPr>
      </w:pPr>
      <w:r>
        <w:rPr>
          <w:rFonts w:hint="eastAsia" w:ascii="黑体" w:hAnsi="黑体" w:eastAsia="黑体" w:cs="黑体"/>
          <w:bCs/>
          <w:szCs w:val="21"/>
        </w:rPr>
        <w:t>图</w:t>
      </w:r>
      <w:r>
        <w:rPr>
          <w:rFonts w:hint="eastAsia" w:ascii="Times New Roman" w:hAnsi="Times New Roman" w:eastAsia="黑体" w:cs="Times New Roman"/>
          <w:bCs/>
          <w:szCs w:val="21"/>
        </w:rPr>
        <w:t>2</w:t>
      </w:r>
      <w:r>
        <w:rPr>
          <w:rFonts w:hint="eastAsia" w:ascii="黑体" w:hAnsi="黑体" w:eastAsia="黑体" w:cs="黑体"/>
          <w:bCs/>
          <w:szCs w:val="21"/>
        </w:rPr>
        <w:t xml:space="preserve"> 大麻二酚（</w:t>
      </w:r>
      <w:r>
        <w:rPr>
          <w:rFonts w:hint="eastAsia" w:ascii="Times New Roman" w:hAnsi="Times New Roman" w:eastAsia="黑体" w:cs="Times New Roman"/>
          <w:bCs/>
          <w:szCs w:val="21"/>
        </w:rPr>
        <w:t>CBD</w:t>
      </w:r>
      <w:r>
        <w:rPr>
          <w:rFonts w:hint="eastAsia" w:ascii="黑体" w:hAnsi="黑体" w:eastAsia="黑体" w:cs="黑体"/>
          <w:bCs/>
          <w:szCs w:val="21"/>
        </w:rPr>
        <w:t>）的多反应监测色谱图</w:t>
      </w:r>
    </w:p>
    <w:p>
      <w:pPr>
        <w:spacing w:before="156" w:after="156"/>
        <w:ind w:firstLine="420"/>
        <w:jc w:val="center"/>
        <w:rPr>
          <w:rFonts w:ascii="Times New Roman" w:hAnsi="Times New Roman"/>
          <w:szCs w:val="20"/>
        </w:rPr>
      </w:pPr>
      <w:r>
        <w:rPr>
          <w:rFonts w:ascii="Times New Roman" w:hAnsi="Times New Roman"/>
          <w:szCs w:val="20"/>
        </w:rPr>
        <w:drawing>
          <wp:inline distT="0" distB="0" distL="0" distR="0">
            <wp:extent cx="2431415" cy="2200910"/>
            <wp:effectExtent l="0" t="0" r="698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431415" cy="2200910"/>
                    </a:xfrm>
                    <a:prstGeom prst="rect">
                      <a:avLst/>
                    </a:prstGeom>
                    <a:noFill/>
                    <a:ln>
                      <a:noFill/>
                    </a:ln>
                  </pic:spPr>
                </pic:pic>
              </a:graphicData>
            </a:graphic>
          </wp:inline>
        </w:drawing>
      </w:r>
    </w:p>
    <w:p>
      <w:pPr>
        <w:snapToGrid w:val="0"/>
        <w:spacing w:before="156" w:beforeLines="50" w:after="156" w:afterLines="50" w:line="300" w:lineRule="auto"/>
        <w:jc w:val="center"/>
        <w:rPr>
          <w:rFonts w:ascii="黑体" w:hAnsi="黑体" w:eastAsia="黑体" w:cs="黑体"/>
          <w:bCs/>
          <w:szCs w:val="21"/>
        </w:rPr>
      </w:pPr>
      <w:r>
        <w:rPr>
          <w:rFonts w:hint="eastAsia" w:ascii="黑体" w:hAnsi="黑体" w:eastAsia="黑体" w:cs="黑体"/>
          <w:bCs/>
          <w:szCs w:val="21"/>
        </w:rPr>
        <w:t>图</w:t>
      </w:r>
      <w:r>
        <w:rPr>
          <w:rFonts w:hint="eastAsia" w:ascii="Times New Roman" w:hAnsi="Times New Roman" w:eastAsia="黑体" w:cs="Times New Roman"/>
          <w:bCs/>
          <w:szCs w:val="21"/>
        </w:rPr>
        <w:t>3</w:t>
      </w:r>
      <w:r>
        <w:rPr>
          <w:rFonts w:hint="eastAsia" w:ascii="黑体" w:hAnsi="黑体" w:eastAsia="黑体" w:cs="黑体"/>
          <w:bCs/>
          <w:szCs w:val="21"/>
        </w:rPr>
        <w:t xml:space="preserve"> 大麻酚（</w:t>
      </w:r>
      <w:r>
        <w:rPr>
          <w:rFonts w:hint="eastAsia" w:ascii="Times New Roman" w:hAnsi="Times New Roman" w:eastAsia="黑体" w:cs="Times New Roman"/>
          <w:bCs/>
          <w:szCs w:val="21"/>
        </w:rPr>
        <w:t>CBN</w:t>
      </w:r>
      <w:r>
        <w:rPr>
          <w:rFonts w:hint="eastAsia" w:ascii="黑体" w:hAnsi="黑体" w:eastAsia="黑体" w:cs="黑体"/>
          <w:bCs/>
          <w:szCs w:val="21"/>
        </w:rPr>
        <w:t>）的多反应监测色谱图</w:t>
      </w:r>
    </w:p>
    <w:p>
      <w:pPr>
        <w:spacing w:before="156" w:after="156"/>
        <w:ind w:firstLine="420"/>
        <w:jc w:val="center"/>
        <w:rPr>
          <w:rFonts w:ascii="Times New Roman" w:hAnsi="Times New Roman" w:eastAsia="黑体"/>
          <w:color w:val="000000"/>
          <w:szCs w:val="21"/>
        </w:rPr>
      </w:pPr>
      <w:r>
        <w:rPr>
          <w:rFonts w:ascii="Times New Roman" w:hAnsi="Times New Roman"/>
          <w:szCs w:val="20"/>
        </w:rPr>
        <w:drawing>
          <wp:inline distT="0" distB="0" distL="0" distR="0">
            <wp:extent cx="2404745" cy="2367915"/>
            <wp:effectExtent l="0" t="0" r="1460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404872" cy="2368296"/>
                    </a:xfrm>
                    <a:prstGeom prst="rect">
                      <a:avLst/>
                    </a:prstGeom>
                    <a:noFill/>
                    <a:ln>
                      <a:noFill/>
                    </a:ln>
                  </pic:spPr>
                </pic:pic>
              </a:graphicData>
            </a:graphic>
          </wp:inline>
        </w:drawing>
      </w:r>
    </w:p>
    <w:p>
      <w:pPr>
        <w:snapToGrid w:val="0"/>
        <w:spacing w:before="156" w:beforeLines="50" w:after="156" w:afterLines="50" w:line="300" w:lineRule="auto"/>
        <w:jc w:val="center"/>
        <w:rPr>
          <w:rFonts w:ascii="Times New Roman" w:hAnsi="Times New Roman" w:eastAsia="黑体" w:cs="Times New Roman"/>
          <w:bCs/>
          <w:szCs w:val="21"/>
        </w:rPr>
      </w:pPr>
      <w:r>
        <w:rPr>
          <w:rFonts w:ascii="Times New Roman" w:hAnsi="Times New Roman" w:eastAsia="黑体" w:cs="Times New Roman"/>
          <w:bCs/>
          <w:szCs w:val="21"/>
        </w:rPr>
        <w:t>图</w:t>
      </w:r>
      <w:r>
        <w:rPr>
          <w:rFonts w:hint="eastAsia" w:ascii="Times New Roman" w:hAnsi="Times New Roman" w:eastAsia="黑体" w:cs="Times New Roman"/>
          <w:bCs/>
          <w:szCs w:val="21"/>
        </w:rPr>
        <w:t>4</w:t>
      </w:r>
      <w:r>
        <w:rPr>
          <w:rFonts w:hint="eastAsia" w:ascii="黑体" w:hAnsi="黑体" w:eastAsia="黑体" w:cs="黑体"/>
          <w:bCs/>
          <w:szCs w:val="21"/>
        </w:rPr>
        <w:t xml:space="preserve"> Δ</w:t>
      </w:r>
      <w:r>
        <w:rPr>
          <w:rFonts w:hint="eastAsia" w:ascii="黑体" w:hAnsi="黑体" w:eastAsia="黑体" w:cs="黑体"/>
          <w:bCs/>
          <w:szCs w:val="21"/>
          <w:vertAlign w:val="superscript"/>
        </w:rPr>
        <w:t>9</w:t>
      </w:r>
      <w:r>
        <w:rPr>
          <w:rFonts w:ascii="Times New Roman" w:hAnsi="Times New Roman" w:eastAsia="黑体" w:cs="Times New Roman"/>
          <w:bCs/>
          <w:szCs w:val="21"/>
        </w:rPr>
        <w:t>-四氢大麻酚</w:t>
      </w:r>
      <w:r>
        <w:rPr>
          <w:rFonts w:hint="eastAsia" w:ascii="黑体" w:hAnsi="黑体" w:eastAsia="黑体" w:cs="黑体"/>
          <w:bCs/>
          <w:szCs w:val="21"/>
        </w:rPr>
        <w:t>（</w:t>
      </w:r>
      <w:r>
        <w:rPr>
          <w:rFonts w:hint="eastAsia" w:ascii="Times New Roman" w:hAnsi="Times New Roman" w:eastAsia="黑体" w:cs="Times New Roman"/>
          <w:bCs/>
          <w:szCs w:val="21"/>
        </w:rPr>
        <w:t>THC</w:t>
      </w:r>
      <w:r>
        <w:rPr>
          <w:rFonts w:hint="eastAsia" w:ascii="黑体" w:hAnsi="黑体" w:eastAsia="黑体" w:cs="黑体"/>
          <w:bCs/>
          <w:szCs w:val="21"/>
        </w:rPr>
        <w:t>）</w:t>
      </w:r>
      <w:r>
        <w:rPr>
          <w:rFonts w:ascii="Times New Roman" w:hAnsi="Times New Roman" w:eastAsia="黑体" w:cs="Times New Roman"/>
          <w:bCs/>
          <w:szCs w:val="21"/>
        </w:rPr>
        <w:t>的多反应监测色谱图</w:t>
      </w:r>
    </w:p>
    <w:p>
      <w:pPr>
        <w:spacing w:before="156" w:after="156"/>
        <w:ind w:firstLine="420"/>
        <w:jc w:val="center"/>
        <w:rPr>
          <w:rFonts w:ascii="Times New Roman" w:hAnsi="Times New Roman"/>
          <w:szCs w:val="20"/>
        </w:rPr>
      </w:pPr>
      <w:r>
        <w:rPr>
          <w:rFonts w:ascii="Times New Roman" w:hAnsi="Times New Roman"/>
          <w:szCs w:val="20"/>
        </w:rPr>
        <w:drawing>
          <wp:inline distT="0" distB="0" distL="0" distR="0">
            <wp:extent cx="2404745" cy="2368550"/>
            <wp:effectExtent l="0" t="0" r="14605" b="0"/>
            <wp:docPr id="59" name="图片 59"/>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404745" cy="2368550"/>
                    </a:xfrm>
                    <a:prstGeom prst="rect">
                      <a:avLst/>
                    </a:prstGeom>
                    <a:noFill/>
                    <a:ln>
                      <a:noFill/>
                    </a:ln>
                  </pic:spPr>
                </pic:pic>
              </a:graphicData>
            </a:graphic>
          </wp:inline>
        </w:drawing>
      </w:r>
    </w:p>
    <w:p>
      <w:pPr>
        <w:snapToGrid w:val="0"/>
        <w:spacing w:before="156" w:beforeLines="50" w:after="156" w:afterLines="50" w:line="300" w:lineRule="auto"/>
        <w:jc w:val="center"/>
        <w:rPr>
          <w:rFonts w:ascii="黑体" w:hAnsi="黑体" w:eastAsia="黑体" w:cs="黑体"/>
          <w:bCs/>
          <w:szCs w:val="21"/>
        </w:rPr>
      </w:pPr>
      <w:r>
        <w:rPr>
          <w:rFonts w:hint="eastAsia" w:ascii="黑体" w:hAnsi="黑体" w:eastAsia="黑体" w:cs="黑体"/>
          <w:bCs/>
          <w:szCs w:val="21"/>
        </w:rPr>
        <w:t>图</w:t>
      </w:r>
      <w:r>
        <w:rPr>
          <w:rFonts w:hint="eastAsia" w:ascii="Times New Roman" w:hAnsi="Times New Roman" w:eastAsia="黑体" w:cs="Times New Roman"/>
          <w:bCs/>
          <w:szCs w:val="21"/>
        </w:rPr>
        <w:t>5</w:t>
      </w:r>
      <w:r>
        <w:rPr>
          <w:rFonts w:hint="eastAsia" w:ascii="黑体" w:hAnsi="黑体" w:eastAsia="黑体" w:cs="黑体"/>
          <w:bCs/>
          <w:szCs w:val="21"/>
        </w:rPr>
        <w:t xml:space="preserve"> 大麻二酚酸（</w:t>
      </w:r>
      <w:r>
        <w:rPr>
          <w:rFonts w:hint="eastAsia" w:ascii="Times New Roman" w:hAnsi="Times New Roman" w:eastAsia="黑体" w:cs="Times New Roman"/>
          <w:bCs/>
          <w:szCs w:val="21"/>
        </w:rPr>
        <w:t>CBDA</w:t>
      </w:r>
      <w:r>
        <w:rPr>
          <w:rFonts w:hint="eastAsia" w:ascii="黑体" w:hAnsi="黑体" w:eastAsia="黑体" w:cs="黑体"/>
          <w:bCs/>
          <w:szCs w:val="21"/>
        </w:rPr>
        <w:t>）的多反应监测色谱图</w:t>
      </w:r>
    </w:p>
    <w:p>
      <w:pPr>
        <w:spacing w:before="156" w:after="156"/>
        <w:ind w:firstLine="420"/>
        <w:jc w:val="center"/>
        <w:rPr>
          <w:rFonts w:ascii="Times New Roman" w:hAnsi="Times New Roman"/>
          <w:szCs w:val="20"/>
        </w:rPr>
      </w:pPr>
      <w:r>
        <w:rPr>
          <w:rFonts w:ascii="Times New Roman" w:hAnsi="Times New Roman"/>
          <w:szCs w:val="20"/>
        </w:rPr>
        <w:drawing>
          <wp:inline distT="0" distB="0" distL="0" distR="0">
            <wp:extent cx="2404745" cy="2367915"/>
            <wp:effectExtent l="0" t="0" r="14605"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404872" cy="2368296"/>
                    </a:xfrm>
                    <a:prstGeom prst="rect">
                      <a:avLst/>
                    </a:prstGeom>
                    <a:noFill/>
                    <a:ln>
                      <a:noFill/>
                    </a:ln>
                  </pic:spPr>
                </pic:pic>
              </a:graphicData>
            </a:graphic>
          </wp:inline>
        </w:drawing>
      </w:r>
    </w:p>
    <w:p>
      <w:pPr>
        <w:snapToGrid w:val="0"/>
        <w:spacing w:before="156" w:beforeLines="50" w:after="156" w:afterLines="50" w:line="300" w:lineRule="auto"/>
        <w:jc w:val="center"/>
        <w:rPr>
          <w:rFonts w:ascii="黑体" w:hAnsi="黑体" w:eastAsia="黑体" w:cs="黑体"/>
          <w:bCs/>
          <w:szCs w:val="21"/>
        </w:rPr>
      </w:pPr>
      <w:r>
        <w:rPr>
          <w:rFonts w:hint="eastAsia" w:ascii="黑体" w:hAnsi="黑体" w:eastAsia="黑体" w:cs="黑体"/>
          <w:bCs/>
          <w:szCs w:val="21"/>
        </w:rPr>
        <w:t>图</w:t>
      </w:r>
      <w:r>
        <w:rPr>
          <w:rFonts w:hint="eastAsia" w:ascii="Times New Roman" w:hAnsi="Times New Roman" w:eastAsia="黑体" w:cs="Times New Roman"/>
          <w:bCs/>
          <w:szCs w:val="21"/>
        </w:rPr>
        <w:t>6</w:t>
      </w:r>
      <w:r>
        <w:rPr>
          <w:rFonts w:hint="eastAsia" w:ascii="黑体" w:hAnsi="黑体" w:eastAsia="黑体" w:cs="黑体"/>
          <w:bCs/>
          <w:szCs w:val="21"/>
        </w:rPr>
        <w:t xml:space="preserve"> 四氢大麻酚酸（</w:t>
      </w:r>
      <w:r>
        <w:rPr>
          <w:rFonts w:hint="eastAsia" w:ascii="Times New Roman" w:hAnsi="Times New Roman" w:eastAsia="黑体" w:cs="Times New Roman"/>
          <w:bCs/>
          <w:szCs w:val="21"/>
        </w:rPr>
        <w:t>THCA</w:t>
      </w:r>
      <w:r>
        <w:rPr>
          <w:rFonts w:hint="eastAsia" w:ascii="黑体" w:hAnsi="黑体" w:eastAsia="黑体" w:cs="黑体"/>
          <w:bCs/>
          <w:szCs w:val="21"/>
        </w:rPr>
        <w:t>）的多反应监测色谱图</w:t>
      </w:r>
    </w:p>
    <w:p>
      <w:pPr>
        <w:spacing w:before="156" w:after="156"/>
        <w:ind w:firstLine="420"/>
        <w:rPr>
          <w:rFonts w:ascii="Times New Roman" w:hAnsi="Times New Roman"/>
          <w:color w:val="000000"/>
          <w:kern w:val="0"/>
          <w:szCs w:val="21"/>
        </w:rPr>
      </w:pPr>
      <w:r>
        <w:rPr>
          <w:rFonts w:ascii="Times New Roman" w:hAnsi="Times New Roman"/>
          <w:color w:val="000000"/>
          <w:kern w:val="0"/>
          <w:szCs w:val="21"/>
        </w:rPr>
        <w:br w:type="page"/>
      </w:r>
    </w:p>
    <w:p>
      <w:pPr>
        <w:spacing w:before="156" w:beforeLines="50" w:after="156" w:afterLines="50" w:line="300" w:lineRule="auto"/>
        <w:jc w:val="center"/>
        <w:rPr>
          <w:rFonts w:ascii="黑体" w:hAnsi="黑体" w:eastAsia="黑体" w:cs="黑体"/>
          <w:szCs w:val="21"/>
        </w:rPr>
      </w:pPr>
      <w:r>
        <w:rPr>
          <w:rFonts w:hint="eastAsia" w:ascii="黑体" w:hAnsi="黑体" w:eastAsia="黑体" w:cs="黑体"/>
          <w:szCs w:val="21"/>
        </w:rPr>
        <w:t>附录A</w:t>
      </w:r>
    </w:p>
    <w:p>
      <w:pPr>
        <w:spacing w:before="156" w:beforeLines="50" w:after="156" w:afterLines="50" w:line="300" w:lineRule="auto"/>
        <w:jc w:val="center"/>
        <w:rPr>
          <w:rFonts w:ascii="黑体" w:hAnsi="黑体" w:eastAsia="黑体" w:cs="黑体"/>
          <w:szCs w:val="21"/>
        </w:rPr>
      </w:pPr>
      <w:r>
        <w:rPr>
          <w:rFonts w:hint="eastAsia" w:ascii="黑体" w:hAnsi="黑体" w:eastAsia="黑体" w:cs="黑体"/>
          <w:szCs w:val="21"/>
        </w:rPr>
        <w:t>（资料性附录）</w:t>
      </w:r>
    </w:p>
    <w:p>
      <w:pPr>
        <w:spacing w:before="156" w:beforeLines="50" w:after="156" w:afterLines="50" w:line="300" w:lineRule="auto"/>
        <w:jc w:val="center"/>
        <w:rPr>
          <w:rFonts w:ascii="黑体" w:hAnsi="黑体" w:eastAsia="黑体" w:cs="黑体"/>
          <w:szCs w:val="21"/>
        </w:rPr>
      </w:pPr>
      <w:r>
        <w:rPr>
          <w:rFonts w:hint="eastAsia" w:ascii="黑体" w:hAnsi="黑体" w:eastAsia="黑体" w:cs="黑体"/>
          <w:szCs w:val="21"/>
        </w:rPr>
        <w:t>大麻二酚等</w:t>
      </w:r>
      <w:r>
        <w:rPr>
          <w:rFonts w:hint="eastAsia" w:ascii="Times New Roman" w:hAnsi="Times New Roman" w:eastAsia="黑体" w:cs="Times New Roman"/>
          <w:bCs/>
          <w:szCs w:val="21"/>
        </w:rPr>
        <w:t xml:space="preserve"> 6 </w:t>
      </w:r>
      <w:r>
        <w:rPr>
          <w:rFonts w:hint="eastAsia" w:ascii="黑体" w:hAnsi="黑体" w:eastAsia="黑体" w:cs="黑体"/>
          <w:szCs w:val="21"/>
        </w:rPr>
        <w:t>种原料标准品信息表</w:t>
      </w:r>
    </w:p>
    <w:tbl>
      <w:tblPr>
        <w:tblStyle w:val="8"/>
        <w:tblW w:w="8804" w:type="dxa"/>
        <w:tblInd w:w="-256" w:type="dxa"/>
        <w:tblLayout w:type="fixed"/>
        <w:tblCellMar>
          <w:top w:w="0" w:type="dxa"/>
          <w:left w:w="108" w:type="dxa"/>
          <w:bottom w:w="0" w:type="dxa"/>
          <w:right w:w="108" w:type="dxa"/>
        </w:tblCellMar>
      </w:tblPr>
      <w:tblGrid>
        <w:gridCol w:w="634"/>
        <w:gridCol w:w="2210"/>
        <w:gridCol w:w="2650"/>
        <w:gridCol w:w="1245"/>
        <w:gridCol w:w="990"/>
        <w:gridCol w:w="1075"/>
      </w:tblGrid>
      <w:tr>
        <w:trPr>
          <w:trHeight w:val="334" w:hRule="atLeast"/>
          <w:tblHeader/>
        </w:trPr>
        <w:tc>
          <w:tcPr>
            <w:tcW w:w="634" w:type="dxa"/>
            <w:tcBorders>
              <w:top w:val="single" w:color="auto" w:sz="8" w:space="0"/>
              <w:left w:val="nil"/>
              <w:bottom w:val="single" w:color="auto" w:sz="8" w:space="0"/>
              <w:right w:val="nil"/>
            </w:tcBorders>
            <w:shd w:val="clear" w:color="auto" w:fill="auto"/>
            <w:noWrap/>
            <w:vAlign w:val="center"/>
          </w:tcPr>
          <w:p>
            <w:pPr>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序号</w:t>
            </w:r>
          </w:p>
        </w:tc>
        <w:tc>
          <w:tcPr>
            <w:tcW w:w="2210" w:type="dxa"/>
            <w:tcBorders>
              <w:top w:val="single" w:color="auto" w:sz="8" w:space="0"/>
              <w:left w:val="nil"/>
              <w:bottom w:val="single" w:color="auto" w:sz="8" w:space="0"/>
              <w:right w:val="nil"/>
            </w:tcBorders>
            <w:shd w:val="clear" w:color="000000" w:fill="FFFFFF"/>
            <w:noWrap/>
            <w:vAlign w:val="center"/>
          </w:tcPr>
          <w:p>
            <w:pPr>
              <w:spacing w:before="156" w:after="156"/>
              <w:jc w:val="center"/>
              <w:rPr>
                <w:rFonts w:ascii="Times New Roman" w:hAnsi="Times New Roman" w:eastAsia="宋体" w:cs="Times New Roman"/>
                <w:szCs w:val="21"/>
              </w:rPr>
            </w:pPr>
            <w:r>
              <w:rPr>
                <w:rFonts w:ascii="Times New Roman" w:hAnsi="Times New Roman" w:eastAsia="宋体" w:cs="Times New Roman"/>
                <w:szCs w:val="21"/>
              </w:rPr>
              <w:t>中文名称</w:t>
            </w:r>
          </w:p>
        </w:tc>
        <w:tc>
          <w:tcPr>
            <w:tcW w:w="2650" w:type="dxa"/>
            <w:tcBorders>
              <w:top w:val="single" w:color="auto" w:sz="8" w:space="0"/>
              <w:left w:val="nil"/>
              <w:bottom w:val="single" w:color="auto" w:sz="8" w:space="0"/>
              <w:right w:val="nil"/>
            </w:tcBorders>
            <w:shd w:val="clear" w:color="000000" w:fill="FFFFFF"/>
            <w:noWrap/>
            <w:vAlign w:val="center"/>
          </w:tcPr>
          <w:p>
            <w:pPr>
              <w:spacing w:before="156" w:after="156"/>
              <w:jc w:val="center"/>
              <w:rPr>
                <w:rFonts w:ascii="Times New Roman" w:hAnsi="Times New Roman" w:eastAsia="宋体" w:cs="Times New Roman"/>
                <w:szCs w:val="21"/>
              </w:rPr>
            </w:pPr>
            <w:r>
              <w:rPr>
                <w:rFonts w:ascii="Times New Roman" w:hAnsi="Times New Roman" w:eastAsia="宋体" w:cs="Times New Roman"/>
                <w:szCs w:val="21"/>
              </w:rPr>
              <w:t>英文名称</w:t>
            </w:r>
          </w:p>
        </w:tc>
        <w:tc>
          <w:tcPr>
            <w:tcW w:w="1245" w:type="dxa"/>
            <w:tcBorders>
              <w:top w:val="single" w:color="auto" w:sz="8" w:space="0"/>
              <w:left w:val="nil"/>
              <w:bottom w:val="single" w:color="auto" w:sz="8" w:space="0"/>
              <w:right w:val="nil"/>
            </w:tcBorders>
            <w:shd w:val="clear" w:color="000000" w:fill="FFFFFF"/>
            <w:noWrap/>
            <w:vAlign w:val="center"/>
          </w:tcPr>
          <w:p>
            <w:pPr>
              <w:spacing w:before="156" w:after="156"/>
              <w:jc w:val="center"/>
              <w:rPr>
                <w:rFonts w:ascii="Times New Roman" w:hAnsi="Times New Roman" w:eastAsia="宋体" w:cs="Times New Roman"/>
                <w:szCs w:val="21"/>
              </w:rPr>
            </w:pPr>
            <w:r>
              <w:rPr>
                <w:rFonts w:ascii="Times New Roman" w:hAnsi="Times New Roman" w:eastAsia="黑体" w:cs="Times New Roman"/>
                <w:bCs/>
                <w:szCs w:val="21"/>
              </w:rPr>
              <w:t>CAS</w:t>
            </w:r>
            <w:r>
              <w:rPr>
                <w:rFonts w:ascii="Times New Roman" w:hAnsi="Times New Roman" w:eastAsia="宋体" w:cs="Times New Roman"/>
                <w:szCs w:val="21"/>
              </w:rPr>
              <w:t>号</w:t>
            </w:r>
          </w:p>
        </w:tc>
        <w:tc>
          <w:tcPr>
            <w:tcW w:w="990" w:type="dxa"/>
            <w:tcBorders>
              <w:top w:val="single" w:color="auto" w:sz="8" w:space="0"/>
              <w:left w:val="nil"/>
              <w:bottom w:val="single" w:color="auto" w:sz="8" w:space="0"/>
              <w:right w:val="nil"/>
            </w:tcBorders>
            <w:shd w:val="clear" w:color="000000" w:fill="FFFFFF"/>
            <w:vAlign w:val="center"/>
          </w:tcPr>
          <w:p>
            <w:pPr>
              <w:spacing w:before="156" w:after="156"/>
              <w:jc w:val="center"/>
              <w:rPr>
                <w:rFonts w:ascii="Times New Roman" w:hAnsi="Times New Roman" w:eastAsia="宋体" w:cs="Times New Roman"/>
                <w:szCs w:val="21"/>
              </w:rPr>
            </w:pPr>
            <w:r>
              <w:rPr>
                <w:rFonts w:ascii="Times New Roman" w:hAnsi="Times New Roman" w:eastAsia="宋体" w:cs="Times New Roman"/>
                <w:szCs w:val="21"/>
              </w:rPr>
              <w:t>相对分子质量</w:t>
            </w:r>
          </w:p>
        </w:tc>
        <w:tc>
          <w:tcPr>
            <w:tcW w:w="1075" w:type="dxa"/>
            <w:tcBorders>
              <w:top w:val="single" w:color="auto" w:sz="8" w:space="0"/>
              <w:left w:val="nil"/>
              <w:bottom w:val="single" w:color="auto" w:sz="8" w:space="0"/>
              <w:right w:val="nil"/>
            </w:tcBorders>
            <w:shd w:val="clear" w:color="000000" w:fill="FFFFFF"/>
            <w:vAlign w:val="center"/>
          </w:tcPr>
          <w:p>
            <w:pPr>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分子式</w:t>
            </w:r>
          </w:p>
        </w:tc>
      </w:tr>
      <w:tr>
        <w:trPr>
          <w:trHeight w:val="310" w:hRule="atLeast"/>
        </w:trPr>
        <w:tc>
          <w:tcPr>
            <w:tcW w:w="634" w:type="dxa"/>
            <w:tcBorders>
              <w:top w:val="nil"/>
              <w:left w:val="nil"/>
              <w:bottom w:val="nil"/>
              <w:right w:val="nil"/>
            </w:tcBorders>
            <w:shd w:val="clear" w:color="auto" w:fill="auto"/>
            <w:noWrap/>
            <w:vAlign w:val="center"/>
          </w:tcPr>
          <w:p>
            <w:pPr>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w:t>
            </w:r>
          </w:p>
        </w:tc>
        <w:tc>
          <w:tcPr>
            <w:tcW w:w="2210" w:type="dxa"/>
            <w:tcBorders>
              <w:top w:val="nil"/>
              <w:left w:val="nil"/>
              <w:bottom w:val="nil"/>
              <w:right w:val="nil"/>
            </w:tcBorders>
            <w:shd w:val="clear" w:color="000000" w:fill="FFFFFF"/>
            <w:noWrap/>
            <w:vAlign w:val="center"/>
          </w:tcPr>
          <w:p>
            <w:pPr>
              <w:spacing w:before="156" w:after="156"/>
              <w:jc w:val="center"/>
              <w:rPr>
                <w:rFonts w:ascii="Times New Roman" w:hAnsi="Times New Roman" w:eastAsia="宋体" w:cs="Times New Roman"/>
                <w:szCs w:val="21"/>
              </w:rPr>
            </w:pPr>
            <w:r>
              <w:rPr>
                <w:rFonts w:ascii="Times New Roman" w:hAnsi="Times New Roman" w:eastAsia="宋体" w:cs="Times New Roman"/>
                <w:szCs w:val="21"/>
              </w:rPr>
              <w:t>次大麻二酚</w:t>
            </w:r>
          </w:p>
        </w:tc>
        <w:tc>
          <w:tcPr>
            <w:tcW w:w="2650" w:type="dxa"/>
            <w:tcBorders>
              <w:top w:val="nil"/>
              <w:left w:val="nil"/>
              <w:bottom w:val="nil"/>
              <w:right w:val="nil"/>
            </w:tcBorders>
            <w:shd w:val="clear" w:color="auto" w:fill="auto"/>
            <w:noWrap/>
            <w:vAlign w:val="center"/>
          </w:tcPr>
          <w:p>
            <w:pPr>
              <w:spacing w:before="156" w:after="156"/>
              <w:jc w:val="center"/>
              <w:rPr>
                <w:rFonts w:ascii="Times New Roman" w:hAnsi="Times New Roman" w:eastAsia="宋体" w:cs="Times New Roman"/>
                <w:szCs w:val="21"/>
              </w:rPr>
            </w:pPr>
            <w:r>
              <w:rPr>
                <w:rFonts w:ascii="Times New Roman" w:hAnsi="Times New Roman" w:eastAsia="宋体" w:cs="Times New Roman"/>
                <w:szCs w:val="21"/>
              </w:rPr>
              <w:t>Cannabidivarol</w:t>
            </w:r>
          </w:p>
        </w:tc>
        <w:tc>
          <w:tcPr>
            <w:tcW w:w="1245" w:type="dxa"/>
            <w:tcBorders>
              <w:top w:val="nil"/>
              <w:left w:val="nil"/>
              <w:bottom w:val="nil"/>
              <w:right w:val="nil"/>
            </w:tcBorders>
            <w:shd w:val="clear" w:color="auto" w:fill="auto"/>
            <w:noWrap/>
            <w:vAlign w:val="center"/>
          </w:tcPr>
          <w:p>
            <w:pPr>
              <w:spacing w:before="156" w:after="156"/>
              <w:jc w:val="center"/>
              <w:rPr>
                <w:rFonts w:ascii="Times New Roman" w:hAnsi="Times New Roman" w:eastAsia="宋体" w:cs="Times New Roman"/>
                <w:szCs w:val="21"/>
              </w:rPr>
            </w:pPr>
            <w:r>
              <w:rPr>
                <w:rFonts w:ascii="Times New Roman" w:hAnsi="Times New Roman" w:eastAsia="宋体" w:cs="Times New Roman"/>
                <w:szCs w:val="21"/>
              </w:rPr>
              <w:t>24274-48-4</w:t>
            </w:r>
          </w:p>
        </w:tc>
        <w:tc>
          <w:tcPr>
            <w:tcW w:w="990" w:type="dxa"/>
            <w:tcBorders>
              <w:top w:val="nil"/>
              <w:left w:val="nil"/>
              <w:bottom w:val="nil"/>
              <w:right w:val="nil"/>
            </w:tcBorders>
            <w:shd w:val="clear" w:color="auto" w:fill="auto"/>
            <w:vAlign w:val="center"/>
          </w:tcPr>
          <w:p>
            <w:pPr>
              <w:spacing w:before="156" w:after="156"/>
              <w:jc w:val="center"/>
              <w:rPr>
                <w:rFonts w:ascii="Times New Roman" w:hAnsi="Times New Roman" w:eastAsia="宋体" w:cs="Times New Roman"/>
                <w:szCs w:val="21"/>
              </w:rPr>
            </w:pPr>
            <w:r>
              <w:rPr>
                <w:rFonts w:ascii="Times New Roman" w:hAnsi="Times New Roman" w:eastAsia="宋体" w:cs="Times New Roman"/>
                <w:szCs w:val="21"/>
              </w:rPr>
              <w:t>286.42</w:t>
            </w:r>
          </w:p>
        </w:tc>
        <w:tc>
          <w:tcPr>
            <w:tcW w:w="1075" w:type="dxa"/>
            <w:tcBorders>
              <w:top w:val="nil"/>
              <w:left w:val="nil"/>
              <w:bottom w:val="nil"/>
              <w:right w:val="nil"/>
            </w:tcBorders>
            <w:shd w:val="clear" w:color="auto" w:fill="auto"/>
            <w:vAlign w:val="center"/>
          </w:tcPr>
          <w:p>
            <w:pPr>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333333"/>
                <w:szCs w:val="21"/>
                <w:shd w:val="clear" w:color="auto" w:fill="FFFFFF"/>
                <w:lang w:bidi="ar"/>
              </w:rPr>
              <w:t>C</w:t>
            </w:r>
            <w:r>
              <w:rPr>
                <w:rFonts w:ascii="Times New Roman" w:hAnsi="Times New Roman" w:eastAsia="宋体" w:cs="Times New Roman"/>
                <w:color w:val="333333"/>
                <w:szCs w:val="21"/>
                <w:shd w:val="clear" w:color="auto" w:fill="FFFFFF"/>
                <w:vertAlign w:val="subscript"/>
                <w:lang w:bidi="ar"/>
              </w:rPr>
              <w:t>19</w:t>
            </w:r>
            <w:r>
              <w:rPr>
                <w:rFonts w:ascii="Times New Roman" w:hAnsi="Times New Roman" w:eastAsia="宋体" w:cs="Times New Roman"/>
                <w:color w:val="333333"/>
                <w:szCs w:val="21"/>
                <w:shd w:val="clear" w:color="auto" w:fill="FFFFFF"/>
                <w:lang w:bidi="ar"/>
              </w:rPr>
              <w:t>H</w:t>
            </w:r>
            <w:r>
              <w:rPr>
                <w:rFonts w:ascii="Times New Roman" w:hAnsi="Times New Roman" w:eastAsia="宋体" w:cs="Times New Roman"/>
                <w:color w:val="333333"/>
                <w:szCs w:val="21"/>
                <w:shd w:val="clear" w:color="auto" w:fill="FFFFFF"/>
                <w:vertAlign w:val="subscript"/>
                <w:lang w:bidi="ar"/>
              </w:rPr>
              <w:t>26</w:t>
            </w:r>
            <w:r>
              <w:rPr>
                <w:rFonts w:ascii="Times New Roman" w:hAnsi="Times New Roman" w:eastAsia="宋体" w:cs="Times New Roman"/>
                <w:color w:val="333333"/>
                <w:szCs w:val="21"/>
                <w:shd w:val="clear" w:color="auto" w:fill="FFFFFF"/>
                <w:lang w:bidi="ar"/>
              </w:rPr>
              <w:t>O</w:t>
            </w:r>
            <w:r>
              <w:rPr>
                <w:rFonts w:ascii="Times New Roman" w:hAnsi="Times New Roman" w:eastAsia="宋体" w:cs="Times New Roman"/>
                <w:color w:val="333333"/>
                <w:szCs w:val="21"/>
                <w:shd w:val="clear" w:color="auto" w:fill="FFFFFF"/>
                <w:vertAlign w:val="subscript"/>
                <w:lang w:bidi="ar"/>
              </w:rPr>
              <w:t>2</w:t>
            </w:r>
          </w:p>
        </w:tc>
      </w:tr>
      <w:tr>
        <w:trPr>
          <w:trHeight w:val="310" w:hRule="atLeast"/>
        </w:trPr>
        <w:tc>
          <w:tcPr>
            <w:tcW w:w="634" w:type="dxa"/>
            <w:tcBorders>
              <w:top w:val="nil"/>
              <w:left w:val="nil"/>
              <w:bottom w:val="nil"/>
              <w:right w:val="nil"/>
            </w:tcBorders>
            <w:shd w:val="clear" w:color="auto" w:fill="auto"/>
            <w:noWrap/>
            <w:vAlign w:val="center"/>
          </w:tcPr>
          <w:p>
            <w:pPr>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w:t>
            </w:r>
          </w:p>
        </w:tc>
        <w:tc>
          <w:tcPr>
            <w:tcW w:w="2210" w:type="dxa"/>
            <w:tcBorders>
              <w:top w:val="nil"/>
              <w:left w:val="nil"/>
              <w:bottom w:val="nil"/>
              <w:right w:val="nil"/>
            </w:tcBorders>
            <w:shd w:val="clear" w:color="000000" w:fill="FFFFFF"/>
            <w:noWrap/>
            <w:vAlign w:val="center"/>
          </w:tcPr>
          <w:p>
            <w:pPr>
              <w:spacing w:before="156" w:after="156"/>
              <w:jc w:val="center"/>
              <w:rPr>
                <w:rFonts w:ascii="Times New Roman" w:hAnsi="Times New Roman" w:eastAsia="宋体" w:cs="Times New Roman"/>
                <w:szCs w:val="21"/>
              </w:rPr>
            </w:pPr>
            <w:r>
              <w:rPr>
                <w:rFonts w:ascii="Times New Roman" w:hAnsi="Times New Roman" w:eastAsia="宋体" w:cs="Times New Roman"/>
                <w:szCs w:val="21"/>
              </w:rPr>
              <w:t>大麻二酚</w:t>
            </w:r>
          </w:p>
        </w:tc>
        <w:tc>
          <w:tcPr>
            <w:tcW w:w="2650" w:type="dxa"/>
            <w:tcBorders>
              <w:top w:val="nil"/>
              <w:left w:val="nil"/>
              <w:bottom w:val="nil"/>
              <w:right w:val="nil"/>
            </w:tcBorders>
            <w:shd w:val="clear" w:color="auto" w:fill="auto"/>
            <w:noWrap/>
            <w:vAlign w:val="center"/>
          </w:tcPr>
          <w:p>
            <w:pPr>
              <w:spacing w:before="156" w:after="156"/>
              <w:jc w:val="center"/>
              <w:rPr>
                <w:rFonts w:ascii="Times New Roman" w:hAnsi="Times New Roman" w:eastAsia="宋体" w:cs="Times New Roman"/>
                <w:szCs w:val="21"/>
              </w:rPr>
            </w:pPr>
            <w:r>
              <w:rPr>
                <w:rFonts w:ascii="Times New Roman" w:hAnsi="Times New Roman" w:eastAsia="宋体" w:cs="Times New Roman"/>
                <w:szCs w:val="21"/>
              </w:rPr>
              <w:t>Cannabidiol</w:t>
            </w:r>
          </w:p>
        </w:tc>
        <w:tc>
          <w:tcPr>
            <w:tcW w:w="1245" w:type="dxa"/>
            <w:tcBorders>
              <w:top w:val="nil"/>
              <w:left w:val="nil"/>
              <w:bottom w:val="nil"/>
              <w:right w:val="nil"/>
            </w:tcBorders>
            <w:shd w:val="clear" w:color="auto" w:fill="auto"/>
            <w:noWrap/>
            <w:vAlign w:val="center"/>
          </w:tcPr>
          <w:p>
            <w:pPr>
              <w:spacing w:before="156" w:after="156"/>
              <w:jc w:val="center"/>
              <w:rPr>
                <w:rFonts w:ascii="Times New Roman" w:hAnsi="Times New Roman" w:eastAsia="宋体" w:cs="Times New Roman"/>
                <w:szCs w:val="21"/>
              </w:rPr>
            </w:pPr>
            <w:r>
              <w:rPr>
                <w:rFonts w:ascii="Times New Roman" w:hAnsi="Times New Roman" w:eastAsia="宋体" w:cs="Times New Roman"/>
                <w:szCs w:val="21"/>
              </w:rPr>
              <w:t>13956-29-1</w:t>
            </w:r>
          </w:p>
        </w:tc>
        <w:tc>
          <w:tcPr>
            <w:tcW w:w="990" w:type="dxa"/>
            <w:tcBorders>
              <w:top w:val="nil"/>
              <w:left w:val="nil"/>
              <w:bottom w:val="nil"/>
              <w:right w:val="nil"/>
            </w:tcBorders>
            <w:shd w:val="clear" w:color="auto" w:fill="auto"/>
            <w:vAlign w:val="center"/>
          </w:tcPr>
          <w:p>
            <w:pPr>
              <w:spacing w:before="156" w:after="156"/>
              <w:jc w:val="center"/>
              <w:rPr>
                <w:rFonts w:ascii="Times New Roman" w:hAnsi="Times New Roman" w:eastAsia="宋体" w:cs="Times New Roman"/>
                <w:szCs w:val="21"/>
              </w:rPr>
            </w:pPr>
            <w:r>
              <w:rPr>
                <w:rFonts w:ascii="Times New Roman" w:hAnsi="Times New Roman" w:eastAsia="宋体" w:cs="Times New Roman"/>
                <w:szCs w:val="21"/>
              </w:rPr>
              <w:t>314.47</w:t>
            </w:r>
          </w:p>
        </w:tc>
        <w:tc>
          <w:tcPr>
            <w:tcW w:w="1075" w:type="dxa"/>
            <w:tcBorders>
              <w:top w:val="nil"/>
              <w:left w:val="nil"/>
              <w:bottom w:val="nil"/>
              <w:right w:val="nil"/>
            </w:tcBorders>
            <w:shd w:val="clear" w:color="auto" w:fill="auto"/>
            <w:vAlign w:val="center"/>
          </w:tcPr>
          <w:p>
            <w:pPr>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333333"/>
                <w:szCs w:val="21"/>
                <w:shd w:val="clear" w:color="auto" w:fill="FFFFFF"/>
                <w:lang w:bidi="ar"/>
              </w:rPr>
              <w:t>C</w:t>
            </w:r>
            <w:r>
              <w:rPr>
                <w:rFonts w:ascii="Times New Roman" w:hAnsi="Times New Roman" w:eastAsia="宋体" w:cs="Times New Roman"/>
                <w:color w:val="333333"/>
                <w:szCs w:val="21"/>
                <w:shd w:val="clear" w:color="auto" w:fill="FFFFFF"/>
                <w:vertAlign w:val="subscript"/>
                <w:lang w:bidi="ar"/>
              </w:rPr>
              <w:t>21</w:t>
            </w:r>
            <w:r>
              <w:rPr>
                <w:rFonts w:ascii="Times New Roman" w:hAnsi="Times New Roman" w:eastAsia="宋体" w:cs="Times New Roman"/>
                <w:color w:val="333333"/>
                <w:szCs w:val="21"/>
                <w:shd w:val="clear" w:color="auto" w:fill="FFFFFF"/>
                <w:lang w:bidi="ar"/>
              </w:rPr>
              <w:t>H</w:t>
            </w:r>
            <w:r>
              <w:rPr>
                <w:rFonts w:ascii="Times New Roman" w:hAnsi="Times New Roman" w:eastAsia="宋体" w:cs="Times New Roman"/>
                <w:color w:val="333333"/>
                <w:szCs w:val="21"/>
                <w:shd w:val="clear" w:color="auto" w:fill="FFFFFF"/>
                <w:vertAlign w:val="subscript"/>
                <w:lang w:bidi="ar"/>
              </w:rPr>
              <w:t>30</w:t>
            </w:r>
            <w:r>
              <w:rPr>
                <w:rFonts w:ascii="Times New Roman" w:hAnsi="Times New Roman" w:eastAsia="宋体" w:cs="Times New Roman"/>
                <w:color w:val="333333"/>
                <w:szCs w:val="21"/>
                <w:shd w:val="clear" w:color="auto" w:fill="FFFFFF"/>
                <w:lang w:bidi="ar"/>
              </w:rPr>
              <w:t>O</w:t>
            </w:r>
            <w:r>
              <w:rPr>
                <w:rFonts w:ascii="Times New Roman" w:hAnsi="Times New Roman" w:eastAsia="宋体" w:cs="Times New Roman"/>
                <w:color w:val="333333"/>
                <w:szCs w:val="21"/>
                <w:shd w:val="clear" w:color="auto" w:fill="FFFFFF"/>
                <w:vertAlign w:val="subscript"/>
                <w:lang w:bidi="ar"/>
              </w:rPr>
              <w:t>2</w:t>
            </w:r>
          </w:p>
        </w:tc>
      </w:tr>
      <w:tr>
        <w:trPr>
          <w:trHeight w:val="310" w:hRule="atLeast"/>
        </w:trPr>
        <w:tc>
          <w:tcPr>
            <w:tcW w:w="634" w:type="dxa"/>
            <w:tcBorders>
              <w:top w:val="nil"/>
              <w:left w:val="nil"/>
              <w:bottom w:val="nil"/>
              <w:right w:val="nil"/>
            </w:tcBorders>
            <w:shd w:val="clear" w:color="auto" w:fill="auto"/>
            <w:noWrap/>
            <w:vAlign w:val="center"/>
          </w:tcPr>
          <w:p>
            <w:pPr>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3</w:t>
            </w:r>
          </w:p>
        </w:tc>
        <w:tc>
          <w:tcPr>
            <w:tcW w:w="2210" w:type="dxa"/>
            <w:tcBorders>
              <w:top w:val="nil"/>
              <w:left w:val="nil"/>
              <w:bottom w:val="nil"/>
              <w:right w:val="nil"/>
            </w:tcBorders>
            <w:shd w:val="clear" w:color="000000" w:fill="FFFFFF"/>
            <w:noWrap/>
            <w:vAlign w:val="center"/>
          </w:tcPr>
          <w:p>
            <w:pPr>
              <w:spacing w:before="156" w:after="156"/>
              <w:jc w:val="center"/>
              <w:rPr>
                <w:rFonts w:ascii="Times New Roman" w:hAnsi="Times New Roman" w:eastAsia="宋体" w:cs="Times New Roman"/>
                <w:szCs w:val="21"/>
              </w:rPr>
            </w:pPr>
            <w:r>
              <w:rPr>
                <w:rFonts w:ascii="Times New Roman" w:hAnsi="Times New Roman" w:eastAsia="宋体" w:cs="Times New Roman"/>
                <w:szCs w:val="21"/>
              </w:rPr>
              <w:t>大麻酚</w:t>
            </w:r>
          </w:p>
        </w:tc>
        <w:tc>
          <w:tcPr>
            <w:tcW w:w="2650" w:type="dxa"/>
            <w:tcBorders>
              <w:top w:val="nil"/>
              <w:left w:val="nil"/>
              <w:bottom w:val="nil"/>
              <w:right w:val="nil"/>
            </w:tcBorders>
            <w:shd w:val="clear" w:color="auto" w:fill="auto"/>
            <w:noWrap/>
            <w:vAlign w:val="center"/>
          </w:tcPr>
          <w:p>
            <w:pPr>
              <w:spacing w:before="156" w:after="156"/>
              <w:jc w:val="center"/>
              <w:rPr>
                <w:rFonts w:ascii="Times New Roman" w:hAnsi="Times New Roman" w:eastAsia="宋体" w:cs="Times New Roman"/>
                <w:szCs w:val="21"/>
              </w:rPr>
            </w:pPr>
            <w:r>
              <w:rPr>
                <w:rFonts w:ascii="Times New Roman" w:hAnsi="Times New Roman" w:eastAsia="宋体" w:cs="Times New Roman"/>
                <w:szCs w:val="21"/>
              </w:rPr>
              <w:t>Cannabinol</w:t>
            </w:r>
          </w:p>
        </w:tc>
        <w:tc>
          <w:tcPr>
            <w:tcW w:w="1245" w:type="dxa"/>
            <w:tcBorders>
              <w:top w:val="nil"/>
              <w:left w:val="nil"/>
              <w:bottom w:val="nil"/>
              <w:right w:val="nil"/>
            </w:tcBorders>
            <w:shd w:val="clear" w:color="auto" w:fill="auto"/>
            <w:noWrap/>
            <w:vAlign w:val="center"/>
          </w:tcPr>
          <w:p>
            <w:pPr>
              <w:spacing w:before="156" w:after="156"/>
              <w:jc w:val="center"/>
              <w:rPr>
                <w:rFonts w:ascii="Times New Roman" w:hAnsi="Times New Roman" w:eastAsia="宋体" w:cs="Times New Roman"/>
                <w:szCs w:val="21"/>
              </w:rPr>
            </w:pPr>
            <w:r>
              <w:rPr>
                <w:rFonts w:ascii="Times New Roman" w:hAnsi="Times New Roman" w:eastAsia="宋体" w:cs="Times New Roman"/>
                <w:szCs w:val="21"/>
              </w:rPr>
              <w:t>521-35-7</w:t>
            </w:r>
          </w:p>
        </w:tc>
        <w:tc>
          <w:tcPr>
            <w:tcW w:w="990" w:type="dxa"/>
            <w:tcBorders>
              <w:top w:val="nil"/>
              <w:left w:val="nil"/>
              <w:bottom w:val="nil"/>
              <w:right w:val="nil"/>
            </w:tcBorders>
            <w:shd w:val="clear" w:color="auto" w:fill="auto"/>
            <w:vAlign w:val="center"/>
          </w:tcPr>
          <w:p>
            <w:pPr>
              <w:spacing w:before="156" w:after="156"/>
              <w:jc w:val="center"/>
              <w:rPr>
                <w:rFonts w:ascii="Times New Roman" w:hAnsi="Times New Roman" w:eastAsia="宋体" w:cs="Times New Roman"/>
                <w:szCs w:val="21"/>
              </w:rPr>
            </w:pPr>
            <w:r>
              <w:rPr>
                <w:rFonts w:ascii="Times New Roman" w:hAnsi="Times New Roman" w:eastAsia="宋体" w:cs="Times New Roman"/>
                <w:szCs w:val="21"/>
              </w:rPr>
              <w:t>310.44</w:t>
            </w:r>
          </w:p>
        </w:tc>
        <w:tc>
          <w:tcPr>
            <w:tcW w:w="1075" w:type="dxa"/>
            <w:tcBorders>
              <w:top w:val="nil"/>
              <w:left w:val="nil"/>
              <w:bottom w:val="nil"/>
              <w:right w:val="nil"/>
            </w:tcBorders>
            <w:shd w:val="clear" w:color="auto" w:fill="auto"/>
            <w:vAlign w:val="center"/>
          </w:tcPr>
          <w:p>
            <w:pPr>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333333"/>
                <w:szCs w:val="21"/>
                <w:shd w:val="clear" w:color="auto" w:fill="FFFFFF"/>
                <w:lang w:bidi="ar"/>
              </w:rPr>
              <w:t>C</w:t>
            </w:r>
            <w:r>
              <w:rPr>
                <w:rFonts w:ascii="Times New Roman" w:hAnsi="Times New Roman" w:eastAsia="宋体" w:cs="Times New Roman"/>
                <w:color w:val="333333"/>
                <w:szCs w:val="21"/>
                <w:shd w:val="clear" w:color="auto" w:fill="FFFFFF"/>
                <w:vertAlign w:val="subscript"/>
                <w:lang w:bidi="ar"/>
              </w:rPr>
              <w:t>21</w:t>
            </w:r>
            <w:r>
              <w:rPr>
                <w:rFonts w:ascii="Times New Roman" w:hAnsi="Times New Roman" w:eastAsia="宋体" w:cs="Times New Roman"/>
                <w:color w:val="333333"/>
                <w:szCs w:val="21"/>
                <w:shd w:val="clear" w:color="auto" w:fill="FFFFFF"/>
                <w:lang w:bidi="ar"/>
              </w:rPr>
              <w:t>H</w:t>
            </w:r>
            <w:r>
              <w:rPr>
                <w:rFonts w:ascii="Times New Roman" w:hAnsi="Times New Roman" w:eastAsia="宋体" w:cs="Times New Roman"/>
                <w:color w:val="333333"/>
                <w:szCs w:val="21"/>
                <w:shd w:val="clear" w:color="auto" w:fill="FFFFFF"/>
                <w:vertAlign w:val="subscript"/>
                <w:lang w:bidi="ar"/>
              </w:rPr>
              <w:t>26</w:t>
            </w:r>
            <w:r>
              <w:rPr>
                <w:rFonts w:ascii="Times New Roman" w:hAnsi="Times New Roman" w:eastAsia="宋体" w:cs="Times New Roman"/>
                <w:color w:val="333333"/>
                <w:szCs w:val="21"/>
                <w:shd w:val="clear" w:color="auto" w:fill="FFFFFF"/>
                <w:lang w:bidi="ar"/>
              </w:rPr>
              <w:t>O</w:t>
            </w:r>
            <w:r>
              <w:rPr>
                <w:rFonts w:ascii="Times New Roman" w:hAnsi="Times New Roman" w:eastAsia="宋体" w:cs="Times New Roman"/>
                <w:color w:val="333333"/>
                <w:szCs w:val="21"/>
                <w:shd w:val="clear" w:color="auto" w:fill="FFFFFF"/>
                <w:vertAlign w:val="subscript"/>
                <w:lang w:bidi="ar"/>
              </w:rPr>
              <w:t>2</w:t>
            </w:r>
          </w:p>
        </w:tc>
      </w:tr>
      <w:tr>
        <w:trPr>
          <w:trHeight w:val="327" w:hRule="atLeast"/>
        </w:trPr>
        <w:tc>
          <w:tcPr>
            <w:tcW w:w="634" w:type="dxa"/>
            <w:tcBorders>
              <w:top w:val="nil"/>
              <w:left w:val="nil"/>
              <w:bottom w:val="nil"/>
              <w:right w:val="nil"/>
            </w:tcBorders>
            <w:shd w:val="clear" w:color="auto" w:fill="auto"/>
            <w:noWrap/>
            <w:vAlign w:val="center"/>
          </w:tcPr>
          <w:p>
            <w:pPr>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4</w:t>
            </w:r>
          </w:p>
        </w:tc>
        <w:tc>
          <w:tcPr>
            <w:tcW w:w="2210" w:type="dxa"/>
            <w:tcBorders>
              <w:top w:val="nil"/>
              <w:left w:val="nil"/>
              <w:bottom w:val="nil"/>
              <w:right w:val="nil"/>
            </w:tcBorders>
            <w:shd w:val="clear" w:color="000000" w:fill="FFFFFF"/>
            <w:noWrap/>
            <w:vAlign w:val="center"/>
          </w:tcPr>
          <w:p>
            <w:pPr>
              <w:spacing w:before="156" w:after="156"/>
              <w:jc w:val="center"/>
              <w:rPr>
                <w:rFonts w:ascii="Times New Roman" w:hAnsi="Times New Roman" w:eastAsia="宋体" w:cs="Times New Roman"/>
                <w:szCs w:val="21"/>
              </w:rPr>
            </w:pPr>
            <w:r>
              <w:rPr>
                <w:rFonts w:ascii="Times New Roman" w:hAnsi="Times New Roman" w:eastAsia="宋体" w:cs="Times New Roman"/>
                <w:szCs w:val="21"/>
              </w:rPr>
              <w:t>Δ</w:t>
            </w:r>
            <w:r>
              <w:rPr>
                <w:rFonts w:ascii="Times New Roman" w:hAnsi="Times New Roman" w:eastAsia="宋体" w:cs="Times New Roman"/>
                <w:szCs w:val="21"/>
                <w:vertAlign w:val="superscript"/>
              </w:rPr>
              <w:t>9</w:t>
            </w:r>
            <w:r>
              <w:rPr>
                <w:rFonts w:ascii="Times New Roman" w:hAnsi="Times New Roman" w:eastAsia="宋体" w:cs="Times New Roman"/>
                <w:szCs w:val="21"/>
              </w:rPr>
              <w:t>-四氢大麻酚</w:t>
            </w:r>
          </w:p>
        </w:tc>
        <w:tc>
          <w:tcPr>
            <w:tcW w:w="2650" w:type="dxa"/>
            <w:tcBorders>
              <w:top w:val="nil"/>
              <w:left w:val="nil"/>
              <w:bottom w:val="nil"/>
              <w:right w:val="nil"/>
            </w:tcBorders>
            <w:shd w:val="clear" w:color="auto" w:fill="auto"/>
            <w:vAlign w:val="center"/>
          </w:tcPr>
          <w:p>
            <w:pPr>
              <w:spacing w:before="156" w:after="156"/>
              <w:jc w:val="center"/>
              <w:rPr>
                <w:rFonts w:ascii="Times New Roman" w:hAnsi="Times New Roman" w:eastAsia="宋体" w:cs="Times New Roman"/>
                <w:szCs w:val="21"/>
              </w:rPr>
            </w:pPr>
            <w:r>
              <w:rPr>
                <w:rFonts w:ascii="Times New Roman" w:hAnsi="Times New Roman" w:eastAsia="宋体" w:cs="Times New Roman"/>
                <w:szCs w:val="21"/>
              </w:rPr>
              <w:t>Δ</w:t>
            </w:r>
            <w:r>
              <w:rPr>
                <w:rFonts w:ascii="Times New Roman" w:hAnsi="Times New Roman" w:eastAsia="宋体" w:cs="Times New Roman"/>
                <w:szCs w:val="21"/>
                <w:vertAlign w:val="superscript"/>
              </w:rPr>
              <w:t>9</w:t>
            </w:r>
            <w:r>
              <w:rPr>
                <w:rFonts w:ascii="Times New Roman" w:hAnsi="Times New Roman" w:eastAsia="宋体" w:cs="Times New Roman"/>
                <w:szCs w:val="21"/>
              </w:rPr>
              <w:t>-Tetrahydrocannabinol</w:t>
            </w:r>
          </w:p>
        </w:tc>
        <w:tc>
          <w:tcPr>
            <w:tcW w:w="1245" w:type="dxa"/>
            <w:tcBorders>
              <w:top w:val="nil"/>
              <w:left w:val="nil"/>
              <w:bottom w:val="nil"/>
              <w:right w:val="nil"/>
            </w:tcBorders>
            <w:shd w:val="clear" w:color="auto" w:fill="auto"/>
            <w:noWrap/>
            <w:vAlign w:val="center"/>
          </w:tcPr>
          <w:p>
            <w:pPr>
              <w:spacing w:before="156" w:after="156"/>
              <w:jc w:val="center"/>
              <w:rPr>
                <w:rFonts w:ascii="Times New Roman" w:hAnsi="Times New Roman" w:eastAsia="宋体" w:cs="Times New Roman"/>
                <w:szCs w:val="21"/>
              </w:rPr>
            </w:pPr>
            <w:r>
              <w:rPr>
                <w:rFonts w:ascii="Times New Roman" w:hAnsi="Times New Roman" w:eastAsia="宋体" w:cs="Times New Roman"/>
                <w:szCs w:val="21"/>
              </w:rPr>
              <w:t>1972-08-3</w:t>
            </w:r>
          </w:p>
        </w:tc>
        <w:tc>
          <w:tcPr>
            <w:tcW w:w="990" w:type="dxa"/>
            <w:tcBorders>
              <w:top w:val="nil"/>
              <w:left w:val="nil"/>
              <w:bottom w:val="nil"/>
              <w:right w:val="nil"/>
            </w:tcBorders>
            <w:shd w:val="clear" w:color="auto" w:fill="auto"/>
            <w:vAlign w:val="center"/>
          </w:tcPr>
          <w:p>
            <w:pPr>
              <w:spacing w:before="156" w:after="156"/>
              <w:jc w:val="center"/>
              <w:rPr>
                <w:rFonts w:ascii="Times New Roman" w:hAnsi="Times New Roman" w:eastAsia="宋体" w:cs="Times New Roman"/>
                <w:szCs w:val="21"/>
              </w:rPr>
            </w:pPr>
            <w:r>
              <w:rPr>
                <w:rFonts w:ascii="Times New Roman" w:hAnsi="Times New Roman" w:eastAsia="宋体" w:cs="Times New Roman"/>
                <w:szCs w:val="21"/>
              </w:rPr>
              <w:t>314.47</w:t>
            </w:r>
          </w:p>
        </w:tc>
        <w:tc>
          <w:tcPr>
            <w:tcW w:w="1075" w:type="dxa"/>
            <w:tcBorders>
              <w:top w:val="nil"/>
              <w:left w:val="nil"/>
              <w:bottom w:val="nil"/>
              <w:right w:val="nil"/>
            </w:tcBorders>
            <w:shd w:val="clear" w:color="auto" w:fill="auto"/>
            <w:vAlign w:val="center"/>
          </w:tcPr>
          <w:p>
            <w:pPr>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333333"/>
                <w:szCs w:val="21"/>
                <w:shd w:val="clear" w:color="auto" w:fill="FFFFFF"/>
                <w:lang w:bidi="ar"/>
              </w:rPr>
              <w:t>C</w:t>
            </w:r>
            <w:r>
              <w:rPr>
                <w:rFonts w:ascii="Times New Roman" w:hAnsi="Times New Roman" w:eastAsia="宋体" w:cs="Times New Roman"/>
                <w:color w:val="333333"/>
                <w:szCs w:val="21"/>
                <w:shd w:val="clear" w:color="auto" w:fill="FFFFFF"/>
                <w:vertAlign w:val="subscript"/>
                <w:lang w:bidi="ar"/>
              </w:rPr>
              <w:t>21</w:t>
            </w:r>
            <w:r>
              <w:rPr>
                <w:rFonts w:ascii="Times New Roman" w:hAnsi="Times New Roman" w:eastAsia="宋体" w:cs="Times New Roman"/>
                <w:color w:val="333333"/>
                <w:szCs w:val="21"/>
                <w:shd w:val="clear" w:color="auto" w:fill="FFFFFF"/>
                <w:lang w:bidi="ar"/>
              </w:rPr>
              <w:t>H</w:t>
            </w:r>
            <w:r>
              <w:rPr>
                <w:rFonts w:ascii="Times New Roman" w:hAnsi="Times New Roman" w:eastAsia="宋体" w:cs="Times New Roman"/>
                <w:color w:val="333333"/>
                <w:szCs w:val="21"/>
                <w:shd w:val="clear" w:color="auto" w:fill="FFFFFF"/>
                <w:vertAlign w:val="subscript"/>
                <w:lang w:bidi="ar"/>
              </w:rPr>
              <w:t>30</w:t>
            </w:r>
            <w:r>
              <w:rPr>
                <w:rFonts w:ascii="Times New Roman" w:hAnsi="Times New Roman" w:eastAsia="宋体" w:cs="Times New Roman"/>
                <w:color w:val="333333"/>
                <w:szCs w:val="21"/>
                <w:shd w:val="clear" w:color="auto" w:fill="FFFFFF"/>
                <w:lang w:bidi="ar"/>
              </w:rPr>
              <w:t>O</w:t>
            </w:r>
            <w:r>
              <w:rPr>
                <w:rFonts w:ascii="Times New Roman" w:hAnsi="Times New Roman" w:eastAsia="宋体" w:cs="Times New Roman"/>
                <w:color w:val="333333"/>
                <w:szCs w:val="21"/>
                <w:shd w:val="clear" w:color="auto" w:fill="FFFFFF"/>
                <w:vertAlign w:val="subscript"/>
                <w:lang w:bidi="ar"/>
              </w:rPr>
              <w:t>2</w:t>
            </w:r>
          </w:p>
        </w:tc>
      </w:tr>
      <w:tr>
        <w:trPr>
          <w:trHeight w:val="310" w:hRule="atLeast"/>
        </w:trPr>
        <w:tc>
          <w:tcPr>
            <w:tcW w:w="634" w:type="dxa"/>
            <w:tcBorders>
              <w:top w:val="nil"/>
              <w:left w:val="nil"/>
              <w:bottom w:val="nil"/>
              <w:right w:val="nil"/>
            </w:tcBorders>
            <w:shd w:val="clear" w:color="auto" w:fill="auto"/>
            <w:noWrap/>
            <w:vAlign w:val="center"/>
          </w:tcPr>
          <w:p>
            <w:pPr>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5</w:t>
            </w:r>
          </w:p>
        </w:tc>
        <w:tc>
          <w:tcPr>
            <w:tcW w:w="2210" w:type="dxa"/>
            <w:tcBorders>
              <w:top w:val="nil"/>
              <w:left w:val="nil"/>
              <w:bottom w:val="nil"/>
              <w:right w:val="nil"/>
            </w:tcBorders>
            <w:shd w:val="clear" w:color="000000" w:fill="FFFFFF"/>
            <w:noWrap/>
            <w:vAlign w:val="center"/>
          </w:tcPr>
          <w:p>
            <w:pPr>
              <w:spacing w:before="156" w:after="156"/>
              <w:jc w:val="center"/>
              <w:rPr>
                <w:rFonts w:ascii="Times New Roman" w:hAnsi="Times New Roman" w:eastAsia="宋体" w:cs="Times New Roman"/>
                <w:szCs w:val="21"/>
              </w:rPr>
            </w:pPr>
            <w:r>
              <w:rPr>
                <w:rFonts w:ascii="Times New Roman" w:hAnsi="Times New Roman" w:eastAsia="宋体" w:cs="Times New Roman"/>
                <w:szCs w:val="21"/>
              </w:rPr>
              <w:t>大麻二酚酸</w:t>
            </w:r>
          </w:p>
        </w:tc>
        <w:tc>
          <w:tcPr>
            <w:tcW w:w="2650" w:type="dxa"/>
            <w:tcBorders>
              <w:top w:val="nil"/>
              <w:left w:val="nil"/>
              <w:bottom w:val="nil"/>
              <w:right w:val="nil"/>
            </w:tcBorders>
            <w:shd w:val="clear" w:color="auto" w:fill="auto"/>
            <w:noWrap/>
            <w:vAlign w:val="center"/>
          </w:tcPr>
          <w:p>
            <w:pPr>
              <w:spacing w:before="156" w:after="156"/>
              <w:jc w:val="center"/>
              <w:rPr>
                <w:rFonts w:ascii="Times New Roman" w:hAnsi="Times New Roman" w:eastAsia="宋体" w:cs="Times New Roman"/>
                <w:szCs w:val="21"/>
              </w:rPr>
            </w:pPr>
            <w:r>
              <w:rPr>
                <w:rFonts w:ascii="Times New Roman" w:hAnsi="Times New Roman" w:eastAsia="宋体" w:cs="Times New Roman"/>
                <w:szCs w:val="21"/>
              </w:rPr>
              <w:t>Cannabidiolic acid</w:t>
            </w:r>
          </w:p>
        </w:tc>
        <w:tc>
          <w:tcPr>
            <w:tcW w:w="1245" w:type="dxa"/>
            <w:tcBorders>
              <w:top w:val="nil"/>
              <w:left w:val="nil"/>
              <w:bottom w:val="nil"/>
              <w:right w:val="nil"/>
            </w:tcBorders>
            <w:shd w:val="clear" w:color="auto" w:fill="auto"/>
            <w:noWrap/>
            <w:vAlign w:val="center"/>
          </w:tcPr>
          <w:p>
            <w:pPr>
              <w:spacing w:before="156" w:after="156"/>
              <w:jc w:val="center"/>
              <w:rPr>
                <w:rFonts w:ascii="Times New Roman" w:hAnsi="Times New Roman" w:eastAsia="宋体" w:cs="Times New Roman"/>
                <w:szCs w:val="21"/>
              </w:rPr>
            </w:pPr>
            <w:r>
              <w:rPr>
                <w:rFonts w:ascii="Times New Roman" w:hAnsi="Times New Roman" w:eastAsia="宋体" w:cs="Times New Roman"/>
                <w:szCs w:val="21"/>
              </w:rPr>
              <w:t>1244-58-2</w:t>
            </w:r>
          </w:p>
        </w:tc>
        <w:tc>
          <w:tcPr>
            <w:tcW w:w="990" w:type="dxa"/>
            <w:tcBorders>
              <w:top w:val="nil"/>
              <w:left w:val="nil"/>
              <w:bottom w:val="nil"/>
              <w:right w:val="nil"/>
            </w:tcBorders>
            <w:shd w:val="clear" w:color="auto" w:fill="auto"/>
            <w:vAlign w:val="center"/>
          </w:tcPr>
          <w:p>
            <w:pPr>
              <w:spacing w:before="156" w:after="156"/>
              <w:jc w:val="center"/>
              <w:rPr>
                <w:rFonts w:ascii="Times New Roman" w:hAnsi="Times New Roman" w:eastAsia="宋体" w:cs="Times New Roman"/>
                <w:szCs w:val="21"/>
              </w:rPr>
            </w:pPr>
            <w:r>
              <w:rPr>
                <w:rFonts w:ascii="Times New Roman" w:hAnsi="Times New Roman" w:eastAsia="宋体" w:cs="Times New Roman"/>
                <w:szCs w:val="21"/>
              </w:rPr>
              <w:t>358.48</w:t>
            </w:r>
          </w:p>
        </w:tc>
        <w:tc>
          <w:tcPr>
            <w:tcW w:w="1075" w:type="dxa"/>
            <w:tcBorders>
              <w:top w:val="nil"/>
              <w:left w:val="nil"/>
              <w:bottom w:val="nil"/>
              <w:right w:val="nil"/>
            </w:tcBorders>
            <w:shd w:val="clear" w:color="auto" w:fill="auto"/>
            <w:vAlign w:val="center"/>
          </w:tcPr>
          <w:p>
            <w:pPr>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333333"/>
                <w:szCs w:val="21"/>
                <w:shd w:val="clear" w:color="auto" w:fill="FFFFFF"/>
                <w:lang w:bidi="ar"/>
              </w:rPr>
              <w:t>C</w:t>
            </w:r>
            <w:r>
              <w:rPr>
                <w:rFonts w:ascii="Times New Roman" w:hAnsi="Times New Roman" w:eastAsia="宋体" w:cs="Times New Roman"/>
                <w:color w:val="333333"/>
                <w:szCs w:val="21"/>
                <w:shd w:val="clear" w:color="auto" w:fill="FFFFFF"/>
                <w:vertAlign w:val="subscript"/>
                <w:lang w:bidi="ar"/>
              </w:rPr>
              <w:t>22</w:t>
            </w:r>
            <w:r>
              <w:rPr>
                <w:rFonts w:ascii="Times New Roman" w:hAnsi="Times New Roman" w:eastAsia="宋体" w:cs="Times New Roman"/>
                <w:color w:val="333333"/>
                <w:szCs w:val="21"/>
                <w:shd w:val="clear" w:color="auto" w:fill="FFFFFF"/>
                <w:lang w:bidi="ar"/>
              </w:rPr>
              <w:t>H</w:t>
            </w:r>
            <w:r>
              <w:rPr>
                <w:rFonts w:ascii="Times New Roman" w:hAnsi="Times New Roman" w:eastAsia="宋体" w:cs="Times New Roman"/>
                <w:color w:val="333333"/>
                <w:szCs w:val="21"/>
                <w:shd w:val="clear" w:color="auto" w:fill="FFFFFF"/>
                <w:vertAlign w:val="subscript"/>
                <w:lang w:bidi="ar"/>
              </w:rPr>
              <w:t>30</w:t>
            </w:r>
            <w:r>
              <w:rPr>
                <w:rFonts w:ascii="Times New Roman" w:hAnsi="Times New Roman" w:eastAsia="宋体" w:cs="Times New Roman"/>
                <w:color w:val="333333"/>
                <w:szCs w:val="21"/>
                <w:shd w:val="clear" w:color="auto" w:fill="FFFFFF"/>
                <w:lang w:bidi="ar"/>
              </w:rPr>
              <w:t>O</w:t>
            </w:r>
            <w:r>
              <w:rPr>
                <w:rFonts w:ascii="Times New Roman" w:hAnsi="Times New Roman" w:eastAsia="宋体" w:cs="Times New Roman"/>
                <w:color w:val="333333"/>
                <w:szCs w:val="21"/>
                <w:shd w:val="clear" w:color="auto" w:fill="FFFFFF"/>
                <w:vertAlign w:val="subscript"/>
                <w:lang w:bidi="ar"/>
              </w:rPr>
              <w:t>4</w:t>
            </w:r>
          </w:p>
        </w:tc>
      </w:tr>
      <w:tr>
        <w:trPr>
          <w:trHeight w:val="320" w:hRule="atLeast"/>
        </w:trPr>
        <w:tc>
          <w:tcPr>
            <w:tcW w:w="634" w:type="dxa"/>
            <w:tcBorders>
              <w:top w:val="nil"/>
              <w:left w:val="nil"/>
              <w:bottom w:val="single" w:color="auto" w:sz="8" w:space="0"/>
              <w:right w:val="nil"/>
            </w:tcBorders>
            <w:shd w:val="clear" w:color="auto" w:fill="auto"/>
            <w:noWrap/>
            <w:vAlign w:val="center"/>
          </w:tcPr>
          <w:p>
            <w:pPr>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6</w:t>
            </w:r>
          </w:p>
        </w:tc>
        <w:tc>
          <w:tcPr>
            <w:tcW w:w="2210" w:type="dxa"/>
            <w:tcBorders>
              <w:top w:val="nil"/>
              <w:left w:val="nil"/>
              <w:bottom w:val="single" w:color="auto" w:sz="8" w:space="0"/>
              <w:right w:val="nil"/>
            </w:tcBorders>
            <w:shd w:val="clear" w:color="000000" w:fill="FFFFFF"/>
            <w:noWrap/>
            <w:vAlign w:val="center"/>
          </w:tcPr>
          <w:p>
            <w:pPr>
              <w:spacing w:before="156" w:after="156"/>
              <w:jc w:val="center"/>
              <w:rPr>
                <w:rFonts w:ascii="Times New Roman" w:hAnsi="Times New Roman" w:eastAsia="宋体" w:cs="Times New Roman"/>
                <w:szCs w:val="21"/>
              </w:rPr>
            </w:pPr>
            <w:r>
              <w:rPr>
                <w:rFonts w:ascii="Times New Roman" w:hAnsi="Times New Roman" w:eastAsia="宋体" w:cs="Times New Roman"/>
                <w:szCs w:val="21"/>
              </w:rPr>
              <w:t>四氢大麻酸</w:t>
            </w:r>
          </w:p>
        </w:tc>
        <w:tc>
          <w:tcPr>
            <w:tcW w:w="2650" w:type="dxa"/>
            <w:tcBorders>
              <w:top w:val="nil"/>
              <w:left w:val="nil"/>
              <w:bottom w:val="single" w:color="auto" w:sz="8" w:space="0"/>
              <w:right w:val="nil"/>
            </w:tcBorders>
            <w:shd w:val="clear" w:color="000000" w:fill="FFFFFF"/>
            <w:noWrap/>
            <w:vAlign w:val="center"/>
          </w:tcPr>
          <w:p>
            <w:pPr>
              <w:spacing w:before="156" w:after="156"/>
              <w:jc w:val="center"/>
              <w:rPr>
                <w:rFonts w:ascii="Times New Roman" w:hAnsi="Times New Roman" w:eastAsia="宋体" w:cs="Times New Roman"/>
                <w:szCs w:val="21"/>
              </w:rPr>
            </w:pPr>
            <w:r>
              <w:rPr>
                <w:rFonts w:ascii="Times New Roman" w:hAnsi="Times New Roman" w:eastAsia="宋体" w:cs="Times New Roman"/>
                <w:szCs w:val="21"/>
              </w:rPr>
              <w:t>Δ</w:t>
            </w:r>
            <w:r>
              <w:rPr>
                <w:rFonts w:ascii="Times New Roman" w:hAnsi="Times New Roman" w:eastAsia="宋体" w:cs="Times New Roman"/>
                <w:szCs w:val="21"/>
                <w:vertAlign w:val="superscript"/>
              </w:rPr>
              <w:t>9</w:t>
            </w:r>
            <w:r>
              <w:rPr>
                <w:rFonts w:ascii="Times New Roman" w:hAnsi="Times New Roman" w:eastAsia="宋体" w:cs="Times New Roman"/>
                <w:szCs w:val="21"/>
              </w:rPr>
              <w:t>-Tetrahydrocannabinolic acid</w:t>
            </w:r>
          </w:p>
        </w:tc>
        <w:tc>
          <w:tcPr>
            <w:tcW w:w="1245" w:type="dxa"/>
            <w:tcBorders>
              <w:top w:val="nil"/>
              <w:left w:val="nil"/>
              <w:bottom w:val="single" w:color="auto" w:sz="8" w:space="0"/>
              <w:right w:val="nil"/>
            </w:tcBorders>
            <w:shd w:val="clear" w:color="auto" w:fill="auto"/>
            <w:noWrap/>
            <w:vAlign w:val="center"/>
          </w:tcPr>
          <w:p>
            <w:pPr>
              <w:spacing w:before="156" w:after="156"/>
              <w:jc w:val="center"/>
              <w:rPr>
                <w:rFonts w:ascii="Times New Roman" w:hAnsi="Times New Roman" w:eastAsia="宋体" w:cs="Times New Roman"/>
                <w:szCs w:val="21"/>
              </w:rPr>
            </w:pPr>
            <w:r>
              <w:rPr>
                <w:rFonts w:ascii="Times New Roman" w:hAnsi="Times New Roman" w:eastAsia="宋体" w:cs="Times New Roman"/>
                <w:szCs w:val="21"/>
              </w:rPr>
              <w:t>23978-85-0</w:t>
            </w:r>
          </w:p>
        </w:tc>
        <w:tc>
          <w:tcPr>
            <w:tcW w:w="990" w:type="dxa"/>
            <w:tcBorders>
              <w:top w:val="nil"/>
              <w:left w:val="nil"/>
              <w:bottom w:val="single" w:color="auto" w:sz="8" w:space="0"/>
              <w:right w:val="nil"/>
            </w:tcBorders>
            <w:shd w:val="clear" w:color="auto" w:fill="auto"/>
            <w:vAlign w:val="center"/>
          </w:tcPr>
          <w:p>
            <w:pPr>
              <w:spacing w:before="156" w:after="156"/>
              <w:jc w:val="center"/>
              <w:rPr>
                <w:rFonts w:ascii="Times New Roman" w:hAnsi="Times New Roman" w:eastAsia="宋体" w:cs="Times New Roman"/>
                <w:szCs w:val="21"/>
              </w:rPr>
            </w:pPr>
            <w:r>
              <w:rPr>
                <w:rFonts w:ascii="Times New Roman" w:hAnsi="Times New Roman" w:eastAsia="宋体" w:cs="Times New Roman"/>
                <w:szCs w:val="21"/>
              </w:rPr>
              <w:t>358.48</w:t>
            </w:r>
          </w:p>
        </w:tc>
        <w:tc>
          <w:tcPr>
            <w:tcW w:w="1075" w:type="dxa"/>
            <w:tcBorders>
              <w:top w:val="nil"/>
              <w:left w:val="nil"/>
              <w:bottom w:val="single" w:color="auto" w:sz="8" w:space="0"/>
              <w:right w:val="nil"/>
            </w:tcBorders>
            <w:shd w:val="clear" w:color="auto" w:fill="auto"/>
            <w:vAlign w:val="center"/>
          </w:tcPr>
          <w:p>
            <w:pPr>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333333"/>
                <w:szCs w:val="21"/>
                <w:shd w:val="clear" w:color="auto" w:fill="FFFFFF"/>
                <w:lang w:bidi="ar"/>
              </w:rPr>
              <w:t>C</w:t>
            </w:r>
            <w:r>
              <w:rPr>
                <w:rFonts w:ascii="Times New Roman" w:hAnsi="Times New Roman" w:eastAsia="宋体" w:cs="Times New Roman"/>
                <w:color w:val="333333"/>
                <w:szCs w:val="21"/>
                <w:shd w:val="clear" w:color="auto" w:fill="FFFFFF"/>
                <w:vertAlign w:val="subscript"/>
                <w:lang w:bidi="ar"/>
              </w:rPr>
              <w:t>22</w:t>
            </w:r>
            <w:r>
              <w:rPr>
                <w:rFonts w:ascii="Times New Roman" w:hAnsi="Times New Roman" w:eastAsia="宋体" w:cs="Times New Roman"/>
                <w:color w:val="333333"/>
                <w:szCs w:val="21"/>
                <w:shd w:val="clear" w:color="auto" w:fill="FFFFFF"/>
                <w:lang w:bidi="ar"/>
              </w:rPr>
              <w:t>H</w:t>
            </w:r>
            <w:r>
              <w:rPr>
                <w:rFonts w:ascii="Times New Roman" w:hAnsi="Times New Roman" w:eastAsia="宋体" w:cs="Times New Roman"/>
                <w:color w:val="333333"/>
                <w:szCs w:val="21"/>
                <w:shd w:val="clear" w:color="auto" w:fill="FFFFFF"/>
                <w:vertAlign w:val="subscript"/>
                <w:lang w:bidi="ar"/>
              </w:rPr>
              <w:t>30</w:t>
            </w:r>
            <w:r>
              <w:rPr>
                <w:rFonts w:ascii="Times New Roman" w:hAnsi="Times New Roman" w:eastAsia="宋体" w:cs="Times New Roman"/>
                <w:color w:val="333333"/>
                <w:szCs w:val="21"/>
                <w:shd w:val="clear" w:color="auto" w:fill="FFFFFF"/>
                <w:lang w:bidi="ar"/>
              </w:rPr>
              <w:t>O</w:t>
            </w:r>
            <w:r>
              <w:rPr>
                <w:rFonts w:ascii="Times New Roman" w:hAnsi="Times New Roman" w:eastAsia="宋体" w:cs="Times New Roman"/>
                <w:color w:val="333333"/>
                <w:szCs w:val="21"/>
                <w:shd w:val="clear" w:color="auto" w:fill="FFFFFF"/>
                <w:vertAlign w:val="subscript"/>
                <w:lang w:bidi="ar"/>
              </w:rPr>
              <w:t>4</w:t>
            </w:r>
          </w:p>
        </w:tc>
      </w:tr>
    </w:tbl>
    <w:p>
      <w:pPr>
        <w:spacing w:before="156" w:after="156"/>
        <w:ind w:firstLine="420"/>
        <w:rPr>
          <w:rFonts w:ascii="Times New Roman" w:hAnsi="Times New Roman"/>
          <w:szCs w:val="20"/>
        </w:rPr>
      </w:pP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Noto Sans Ethiopic">
    <w:panose1 w:val="020B0502040504020204"/>
    <w:charset w:val="00"/>
    <w:family w:val="auto"/>
    <w:pitch w:val="default"/>
    <w:sig w:usb0="00000000" w:usb1="00000000" w:usb2="00000800" w:usb3="00000000" w:csb0="00000001" w:csb1="00000000"/>
  </w:font>
  <w:font w:name="Cambria Math">
    <w:altName w:val="DejaVu Math TeX Gyre"/>
    <w:panose1 w:val="02040503050406030204"/>
    <w:charset w:val="00"/>
    <w:family w:val="roman"/>
    <w:pitch w:val="default"/>
    <w:sig w:usb0="00000000" w:usb1="00000000" w:usb2="00000000" w:usb3="00000000" w:csb0="0000019F" w:csb1="00000000"/>
  </w:font>
  <w:font w:name="DejaVu Math TeX Gyre">
    <w:panose1 w:val="02000503000000000000"/>
    <w:charset w:val="00"/>
    <w:family w:val="auto"/>
    <w:pitch w:val="default"/>
    <w:sig w:usb0="A10000EF" w:usb1="4201F9EE" w:usb2="02000000" w:usb3="00000000" w:csb0="60000193" w:csb1="0DD4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after="120"/>
      <w:ind w:firstLine="360"/>
      <w:jc w:val="left"/>
      <w:rPr>
        <w:rFonts w:ascii="Times New Roman" w:hAnsi="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after="120"/>
      <w:ind w:firstLine="4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E40EDE"/>
    <w:rsid w:val="000D2A26"/>
    <w:rsid w:val="00266CE9"/>
    <w:rsid w:val="00311164"/>
    <w:rsid w:val="004C0492"/>
    <w:rsid w:val="00844103"/>
    <w:rsid w:val="008572B8"/>
    <w:rsid w:val="009C7267"/>
    <w:rsid w:val="00AA7274"/>
    <w:rsid w:val="00C431B0"/>
    <w:rsid w:val="00C63E81"/>
    <w:rsid w:val="00CE345B"/>
    <w:rsid w:val="00D87C6D"/>
    <w:rsid w:val="00E02484"/>
    <w:rsid w:val="00E8059C"/>
    <w:rsid w:val="00EA14C2"/>
    <w:rsid w:val="04FB4C5A"/>
    <w:rsid w:val="06FA2BAB"/>
    <w:rsid w:val="120106F9"/>
    <w:rsid w:val="25E271FE"/>
    <w:rsid w:val="29DF645E"/>
    <w:rsid w:val="2DC931AE"/>
    <w:rsid w:val="3236068C"/>
    <w:rsid w:val="36AB673F"/>
    <w:rsid w:val="3727681E"/>
    <w:rsid w:val="3B105FC0"/>
    <w:rsid w:val="4FEB6863"/>
    <w:rsid w:val="5BE40EDE"/>
    <w:rsid w:val="5E244887"/>
    <w:rsid w:val="60E346F1"/>
    <w:rsid w:val="65B7CBCE"/>
    <w:rsid w:val="733D748C"/>
    <w:rsid w:val="7E6F30AB"/>
    <w:rsid w:val="7FFA400D"/>
    <w:rsid w:val="EBBFED81"/>
    <w:rsid w:val="FFB92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qFormat="1" w:uiPriority="99"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keepNext/>
      <w:keepLines/>
      <w:spacing w:before="20" w:after="20"/>
      <w:jc w:val="left"/>
      <w:outlineLvl w:val="2"/>
    </w:pPr>
    <w:rPr>
      <w:rFonts w:ascii="Times New Roman" w:hAnsi="Times New Roman" w:eastAsia="宋体"/>
      <w:b/>
      <w:bCs/>
      <w:sz w:val="20"/>
      <w:szCs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unhideWhenUsed/>
    <w:qFormat/>
    <w:uiPriority w:val="99"/>
    <w:pPr>
      <w:autoSpaceDE w:val="0"/>
      <w:autoSpaceDN w:val="0"/>
      <w:spacing w:beforeLines="50" w:afterLines="50" w:line="300" w:lineRule="auto"/>
    </w:pPr>
    <w:rPr>
      <w:rFonts w:ascii="宋体" w:hAnsi="宋体" w:eastAsia="宋体" w:cs="宋体"/>
      <w:kern w:val="0"/>
      <w:szCs w:val="21"/>
      <w:lang w:val="zh-CN" w:bidi="zh-CN"/>
    </w:rPr>
  </w:style>
  <w:style w:type="paragraph" w:styleId="5">
    <w:name w:val="Balloon Text"/>
    <w:basedOn w:val="1"/>
    <w:link w:val="14"/>
    <w:qFormat/>
    <w:uiPriority w:val="0"/>
    <w:rPr>
      <w:sz w:val="18"/>
      <w:szCs w:val="18"/>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character" w:styleId="10">
    <w:name w:val="endnote reference"/>
    <w:basedOn w:val="9"/>
    <w:semiHidden/>
    <w:unhideWhenUsed/>
    <w:qFormat/>
    <w:uiPriority w:val="99"/>
    <w:rPr>
      <w:vertAlign w:val="superscript"/>
    </w:rPr>
  </w:style>
  <w:style w:type="character" w:styleId="11">
    <w:name w:val="annotation reference"/>
    <w:basedOn w:val="9"/>
    <w:qFormat/>
    <w:uiPriority w:val="0"/>
    <w:rPr>
      <w:sz w:val="21"/>
      <w:szCs w:val="21"/>
    </w:rPr>
  </w:style>
  <w:style w:type="paragraph" w:customStyle="1" w:styleId="12">
    <w:name w:val="正文+ 首行缩进2"/>
    <w:basedOn w:val="1"/>
    <w:next w:val="1"/>
    <w:qFormat/>
    <w:uiPriority w:val="0"/>
    <w:pPr>
      <w:widowControl/>
      <w:spacing w:line="360" w:lineRule="auto"/>
      <w:ind w:firstLine="480" w:firstLineChars="200"/>
      <w:jc w:val="left"/>
    </w:pPr>
    <w:rPr>
      <w:kern w:val="0"/>
    </w:rPr>
  </w:style>
  <w:style w:type="paragraph" w:customStyle="1" w:styleId="13">
    <w:name w:val="WPSOffice手动目录 1"/>
    <w:qFormat/>
    <w:uiPriority w:val="0"/>
    <w:rPr>
      <w:rFonts w:ascii="Times New Roman" w:hAnsi="Times New Roman" w:eastAsia="宋体" w:cs="Times New Roman"/>
      <w:lang w:val="en-US" w:eastAsia="zh-CN" w:bidi="ar-SA"/>
    </w:rPr>
  </w:style>
  <w:style w:type="character" w:customStyle="1" w:styleId="14">
    <w:name w:val="批注框文本 Char"/>
    <w:basedOn w:val="9"/>
    <w:link w:val="5"/>
    <w:qFormat/>
    <w:uiPriority w:val="0"/>
    <w:rPr>
      <w:kern w:val="2"/>
      <w:sz w:val="18"/>
      <w:szCs w:val="18"/>
    </w:rPr>
  </w:style>
  <w:style w:type="character" w:customStyle="1" w:styleId="15">
    <w:name w:val="页眉 Char"/>
    <w:basedOn w:val="9"/>
    <w:link w:val="7"/>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image" Target="media/image3.emf"/><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6.emf"/><Relationship Id="rId10" Type="http://schemas.openxmlformats.org/officeDocument/2006/relationships/image" Target="media/image5.e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841</Words>
  <Characters>4800</Characters>
  <Lines>40</Lines>
  <Paragraphs>11</Paragraphs>
  <TotalTime>2</TotalTime>
  <ScaleCrop>false</ScaleCrop>
  <LinksUpToDate>false</LinksUpToDate>
  <CharactersWithSpaces>5630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2025-12-08T13:50:00Z</dcterms:created>
  <dc:creator>周智明</dc:creator>
  <cp:lastModifiedBy>lisc</cp:lastModifiedBy>
  <dcterms:modified xsi:type="dcterms:W3CDTF">2025-12-29T20:16:19Z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274DDBFC16244CB9924FCD40FA912D0D_13</vt:lpwstr>
  </property>
  <property fmtid="{D5CDD505-2E9C-101B-9397-08002B2CF9AE}" pid="4" name="KSOTemplateDocerSaveRecord">
    <vt:lpwstr>eyJoZGlkIjoiMzQxMjI3ZDM3ZDE0YzU0YWRiZDVkODJlNDQwNTc1NTIiLCJ1c2VySWQiOiIxNjY0ODcxOTE0In0=</vt:lpwstr>
  </property>
</Properties>
</file>