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EE5E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CC6CFFB">
      <w:pPr>
        <w:spacing w:beforeLines="0" w:afterLines="0" w:line="600" w:lineRule="exact"/>
        <w:rPr>
          <w:rFonts w:ascii="黑体" w:hAnsi="黑体" w:eastAsia="黑体" w:cs="黑体"/>
          <w:sz w:val="32"/>
          <w:szCs w:val="32"/>
        </w:rPr>
      </w:pPr>
    </w:p>
    <w:p w14:paraId="3393D32B">
      <w:pPr>
        <w:spacing w:before="0" w:beforeLines="0" w:after="0" w:afterLines="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非处方药说明书范本</w:t>
      </w:r>
    </w:p>
    <w:p w14:paraId="372A2D63">
      <w:pPr>
        <w:spacing w:beforeLines="0" w:afterLines="0" w:line="600" w:lineRule="exact"/>
        <w:jc w:val="center"/>
        <w:rPr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28"/>
          <w:szCs w:val="32"/>
        </w:rPr>
        <w:t>氯雷他定分散片说</w:t>
      </w:r>
      <w:r>
        <w:rPr>
          <w:rFonts w:hint="eastAsia"/>
          <w:b/>
          <w:sz w:val="28"/>
          <w:szCs w:val="32"/>
        </w:rPr>
        <w:t>明书</w:t>
      </w:r>
    </w:p>
    <w:p w14:paraId="534E2475">
      <w:pPr>
        <w:spacing w:beforeLines="0" w:afterLines="0" w:line="600" w:lineRule="exact"/>
        <w:jc w:val="center"/>
        <w:rPr>
          <w:b/>
          <w:sz w:val="24"/>
        </w:rPr>
      </w:pPr>
      <w:r>
        <w:rPr>
          <w:rFonts w:hint="eastAsia" w:ascii="宋体" w:hAnsi="宋体"/>
          <w:b/>
          <w:sz w:val="24"/>
        </w:rPr>
        <w:t>请仔细阅读说明书并按说明使用或在药师指导下购买和使用</w:t>
      </w:r>
    </w:p>
    <w:p w14:paraId="07DE136B">
      <w:pPr>
        <w:spacing w:beforeLines="0" w:afterLines="0" w:line="600" w:lineRule="exact"/>
        <w:jc w:val="center"/>
        <w:rPr>
          <w:b/>
          <w:sz w:val="24"/>
        </w:rPr>
      </w:pPr>
    </w:p>
    <w:p w14:paraId="1D1C9F6D">
      <w:pPr>
        <w:widowControl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[药品名称]</w:t>
      </w:r>
    </w:p>
    <w:p w14:paraId="6CAAE161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通用名称：氯雷他定分散片</w:t>
      </w:r>
    </w:p>
    <w:p w14:paraId="066D8877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商品名称：</w:t>
      </w:r>
    </w:p>
    <w:p w14:paraId="54E40C8C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英文名称：</w:t>
      </w:r>
    </w:p>
    <w:p w14:paraId="7F282E2C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汉语拼音：</w:t>
      </w:r>
    </w:p>
    <w:p w14:paraId="3295C260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[成份] 本品每片含氯雷他定5毫克。辅料为：</w:t>
      </w:r>
    </w:p>
    <w:p w14:paraId="06837C49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[性状] </w:t>
      </w:r>
    </w:p>
    <w:p w14:paraId="60D63804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[作用类别] 本品为耳鼻喉科及皮肤科用药类非处方药药品。</w:t>
      </w:r>
    </w:p>
    <w:p w14:paraId="1CE107EB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[适应症] 用于缓解过敏性鼻炎的鼻部或非鼻部症状，如喷嚏、流涕、鼻痒、眼痒及眼部烧灼感等。亦适用于减轻慢性荨麻疹及其他过敏性皮肤病的症状及体征。</w:t>
      </w:r>
    </w:p>
    <w:p w14:paraId="7D8A975C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[规格] 5毫克。</w:t>
      </w:r>
    </w:p>
    <w:p w14:paraId="4B1163C1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[用法用量] 口服，成人及大于12岁的儿童每天1次，每次2片（10毫克）。2～12岁儿童：体重＞30</w:t>
      </w:r>
      <w:bookmarkStart w:id="0" w:name="OLE_LINK4"/>
      <w:bookmarkStart w:id="1" w:name="OLE_LINK5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千克</w:t>
      </w:r>
      <w:bookmarkEnd w:id="0"/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，每次2片（10毫克），每天1次；体重≤30千克，每次1片（5毫克），每天1次。</w:t>
      </w:r>
    </w:p>
    <w:p w14:paraId="52B7643D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[不良反应]</w:t>
      </w:r>
    </w:p>
    <w:p w14:paraId="7FA571D7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常见不良反应有乏力、头痛、嗜睡、口干、胃肠道不适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包括恶心、胃炎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及皮疹等。偶见嗜睡，健忘及晨起面部肢端水肿。罕见不良反应有视觉模糊、血压降低或升高、晕厥、癫痫发作、乳房肿大、脱发、过敏反应、肝功能异常、心动过速、心悸、运动机能亢进、黄疸、肝炎、肝坏死、多形性红斑等。</w:t>
      </w:r>
    </w:p>
    <w:p w14:paraId="5CDD9969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献报道，约300名6~12岁的儿童患者参加的随机对照临床试验中，每天1次口服氯雷他定10毫克（相当于本品2片）不良反应发生的类别和频率与成人相似，发生率大于2%的不良反应包括神经质、喘鸣、疲劳、运动功能亢进、腹痛、结膜炎、发音困难、不适、上呼吸道感染。氯雷他定10毫克所致的发育终止的发生率小于1%。</w:t>
      </w:r>
    </w:p>
    <w:p w14:paraId="05626CE9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在一项双盲、安慰剂对照的临床试验中，60 名 2~5 岁患儿接受氯雷他定每天 5毫克（相当于本品1片），持续14 天，未观察到非预期的不良反应。与2～5岁患者使用氯雷他定糖浆治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疗有关的发生率在2～3%的不良反应包括：腹泻、鼻出血、咽炎、流感样症状、疲劳、口炎、牙齿不适、耳痛、病毒感染和皮疹。</w:t>
      </w:r>
    </w:p>
    <w:p w14:paraId="331061F7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除了上述发生率大于2%的不良反应以外，还发现以下不良反应：</w:t>
      </w:r>
    </w:p>
    <w:p w14:paraId="72494E4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自主神经系统：流泪、流涎、潮红、感觉迟钝、阳萎、多汗、口干。</w:t>
      </w:r>
    </w:p>
    <w:p w14:paraId="57F2111C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一般状况：血管神经性水肿、虚弱、背痛、视物模糊、胸痛、耳痛、眼痛、腿部抽筋、抑郁、寒颤、耳鸣、病毒感染、体重增加。</w:t>
      </w:r>
    </w:p>
    <w:p w14:paraId="0755882E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心血管系统：高血压、低血压、心悸、室上性快速性心律失常、晕厥、心动过速。</w:t>
      </w:r>
    </w:p>
    <w:p w14:paraId="1282725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中枢和外周神经系统：眼脸痉挛、眩晕、发音困难、张力过强、偏头痛、感觉异常、震颤。</w:t>
      </w:r>
    </w:p>
    <w:p w14:paraId="600F83DC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胃肠道系统：味觉改变、食欲下降、便秘、腹泻、消化不良、胃胀、胃炎、呃逆、食欲增加、恶心、呕吐。</w:t>
      </w:r>
    </w:p>
    <w:p w14:paraId="745903A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肌肉骨骼系统：关节痛、肌痛。</w:t>
      </w:r>
    </w:p>
    <w:p w14:paraId="3F98DCE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精神神经系统：激动、健忘、焦虑、精神错乱、性欲下降、抑郁、注意力不集中、失眠、易怒。</w:t>
      </w:r>
    </w:p>
    <w:p w14:paraId="72206721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生殖系统：乳房痛、痛经、月经过多、阴道炎。</w:t>
      </w:r>
    </w:p>
    <w:p w14:paraId="39B82DE7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呼吸系统：支气管炎、支气管痉挛、咳嗽、呼吸困难、咯血、喉炎、鼻干、咽炎、鼻窦炎、喷嚏。</w:t>
      </w:r>
    </w:p>
    <w:p w14:paraId="1485904E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皮肤及附属器官：皮炎、毛发干燥、皮肤干燥、光敏反应、瘙痒症、紫癜、风疹。</w:t>
      </w:r>
    </w:p>
    <w:p w14:paraId="2E885721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泌尿系统：尿频、尿液外观颜色改变、尿失禁、尿潴留。</w:t>
      </w:r>
    </w:p>
    <w:p w14:paraId="49AB7097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另外，服用本品还可偶发肝功异常（包括黄疸、肝炎和肝坏死）、秃发、过敏反应、乳腺增生、多形性红斑、周围性水肿、血小板减少症、癫痫。</w:t>
      </w:r>
    </w:p>
    <w:p w14:paraId="156D8135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[禁忌]</w:t>
      </w:r>
    </w:p>
    <w:p w14:paraId="10DAB6E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对本品任何成份过敏者或特异体质的患者禁用。</w:t>
      </w:r>
    </w:p>
    <w:p w14:paraId="4B660358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[注意事项]</w:t>
      </w:r>
    </w:p>
    <w:p w14:paraId="67CB75EC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1.肝功能不全的患者请在医生指导下使用。</w:t>
      </w:r>
    </w:p>
    <w:p w14:paraId="5B81ACF1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2.妊娠期及哺乳期妇女慎用。</w:t>
      </w:r>
    </w:p>
    <w:p w14:paraId="1A2B11D0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3.2岁以下儿童用药应咨询医师。</w:t>
      </w:r>
    </w:p>
    <w:p w14:paraId="75F48A26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4.使用本品后偶有心律失常报道，有心律失常病史者应慎用。</w:t>
      </w:r>
    </w:p>
    <w:p w14:paraId="58F8E514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5.肾功能不全者慎用。</w:t>
      </w:r>
    </w:p>
    <w:p w14:paraId="3F4B11D0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6.在做皮试前约48小时左右应中止使用本品，因抗组胺药能阻止或降低皮试的阳性反应发生。</w:t>
      </w:r>
    </w:p>
    <w:p w14:paraId="2BD6F47C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7.对本品过敏者禁用，过敏体质者慎用。</w:t>
      </w:r>
    </w:p>
    <w:p w14:paraId="638B6969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8.本品性状发生改变时禁止使用。</w:t>
      </w:r>
    </w:p>
    <w:p w14:paraId="6756C990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9.请将本品放在儿童不能接触的地方。</w:t>
      </w:r>
    </w:p>
    <w:p w14:paraId="20DFE286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10.儿童必须在成人监护下使用。</w:t>
      </w:r>
    </w:p>
    <w:p w14:paraId="42A4C2AB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11.如正在使用其他药品，使用本品前请咨询医师或药师。</w:t>
      </w:r>
    </w:p>
    <w:p w14:paraId="2FE90F3D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[药物相互作用] </w:t>
      </w:r>
    </w:p>
    <w:p w14:paraId="7F539F86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1.同时服用酮康唑、大环内酯类抗生素、西咪替丁、茶碱等药物，会提高氯雷他定在血浆中的浓度，应慎用。其他已知能抑制肝脏代谢的药物，在未明确与氯雷他定相互作用前应谨慎合用。</w:t>
      </w:r>
    </w:p>
    <w:p w14:paraId="6B272D0B">
      <w:pPr>
        <w:widowControl w:val="0"/>
        <w:tabs>
          <w:tab w:val="left" w:pos="6510"/>
        </w:tabs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2.如与其他药物同时使用可能发生药物相互作用，详情请咨询医师或药师</w:t>
      </w:r>
    </w:p>
    <w:p w14:paraId="47D93275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[药理作用] 本品为高效、作用持久的三环类抗组胺药，为选择性外周H1受体拮抗剂。可缓解过敏反应引起的各种症状。</w:t>
      </w:r>
    </w:p>
    <w:p w14:paraId="0422F7B8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[贮藏]</w:t>
      </w:r>
    </w:p>
    <w:p w14:paraId="6B5028FE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[包装]</w:t>
      </w:r>
    </w:p>
    <w:p w14:paraId="3CB4EC74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[有效期]</w:t>
      </w:r>
    </w:p>
    <w:p w14:paraId="4B470A5A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[执行标准]</w:t>
      </w:r>
    </w:p>
    <w:p w14:paraId="6A2A8F19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[批准文号]</w:t>
      </w:r>
    </w:p>
    <w:p w14:paraId="384482E5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[说明书修订日期]</w:t>
      </w:r>
    </w:p>
    <w:p w14:paraId="6B9CFF5F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[药品上市许可持有人]</w:t>
      </w:r>
    </w:p>
    <w:p w14:paraId="4BD6EC32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    称：</w:t>
      </w:r>
    </w:p>
    <w:p w14:paraId="0BFD6230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注册地址：</w:t>
      </w:r>
    </w:p>
    <w:p w14:paraId="0B19C6A1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邮政编码：</w:t>
      </w:r>
    </w:p>
    <w:p w14:paraId="6374B008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电话号码：</w:t>
      </w:r>
    </w:p>
    <w:p w14:paraId="6C4FDAD2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传真号码：</w:t>
      </w:r>
    </w:p>
    <w:p w14:paraId="274AF5B2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    址：</w:t>
      </w:r>
    </w:p>
    <w:p w14:paraId="48DC1DD5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[生产企业]</w:t>
      </w:r>
    </w:p>
    <w:p w14:paraId="599438D8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    称：</w:t>
      </w:r>
    </w:p>
    <w:p w14:paraId="6E98FDDE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生产地址：</w:t>
      </w:r>
    </w:p>
    <w:p w14:paraId="1B924C92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邮政编码：</w:t>
      </w:r>
    </w:p>
    <w:p w14:paraId="55C04ED2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电话号码：</w:t>
      </w:r>
    </w:p>
    <w:p w14:paraId="4CCE4B3D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传真号码：</w:t>
      </w:r>
    </w:p>
    <w:p w14:paraId="3173AF08">
      <w:pPr>
        <w:widowControl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网    址： </w:t>
      </w:r>
    </w:p>
    <w:p w14:paraId="0FA2E591">
      <w:pPr>
        <w:widowControl w:val="0"/>
        <w:spacing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如有问题可与药品上市许可持有人联系</w:t>
      </w:r>
    </w:p>
    <w:p w14:paraId="1A65C8A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47828"/>
    <w:rsid w:val="63E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2026-07-01T09:13:00Z</dcterms:created>
  <dc:creator>新祺</dc:creator>
  <cp:lastModifiedBy>新祺</cp:lastModifiedBy>
  <dcterms:modified xsi:type="dcterms:W3CDTF">2026-07-01T09:14:13Z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F5B2C0FE281C4FC19211C16E96BA31DB_11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