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5EE5E">
      <w:pPr>
        <w:spacing w:line="54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fldChar w:fldCharType="begin"/>
      </w:r>
      <w:r>
        <w:rPr>
          <w:rFonts w:hint="eastAsia" w:ascii="黑体" w:hAnsi="黑体" w:eastAsia="黑体" w:cs="黑体"/>
          <w:sz w:val="32"/>
          <w:szCs w:val="32"/>
        </w:rPr>
        <w:instrText xml:space="preserve">ADDIN CNKISM.UserStyle</w:instrText>
      </w:r>
      <w:r>
        <w:rPr>
          <w:rFonts w:hint="eastAsia" w:ascii="黑体" w:hAnsi="黑体" w:eastAsia="黑体" w:cs="黑体"/>
          <w:sz w:val="32"/>
          <w:szCs w:val="32"/>
        </w:rPr>
        <w:fldChar w:fldCharType="end"/>
      </w: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CC6CFFB">
      <w:pPr>
        <w:spacing w:beforeLines="0" w:afterLines="0" w:line="600" w:lineRule="exact"/>
        <w:rPr>
          <w:rFonts w:ascii="黑体" w:hAnsi="黑体" w:eastAsia="黑体" w:cs="黑体"/>
          <w:sz w:val="32"/>
          <w:szCs w:val="32"/>
        </w:rPr>
      </w:pPr>
    </w:p>
    <w:p w14:paraId="3393D32B">
      <w:pPr>
        <w:spacing w:before="0" w:beforeLines="0" w:after="0" w:afterLines="0"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非处方药说明书范本</w:t>
      </w:r>
    </w:p>
    <w:p w14:paraId="372A2D63">
      <w:pPr>
        <w:spacing w:beforeLines="0" w:afterLines="0" w:line="600" w:lineRule="exact"/>
        <w:jc w:val="center"/>
        <w:rPr>
          <w:b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sz w:val="28"/>
          <w:szCs w:val="32"/>
        </w:rPr>
        <w:t>氯雷他定分散片说</w:t>
      </w:r>
      <w:r>
        <w:rPr>
          <w:rFonts w:hint="eastAsia"/>
          <w:b/>
          <w:sz w:val="28"/>
          <w:szCs w:val="32"/>
        </w:rPr>
        <w:t>明书</w:t>
      </w:r>
    </w:p>
    <w:p w14:paraId="534E2475">
      <w:pPr>
        <w:spacing w:beforeLines="0" w:afterLines="0" w:line="600" w:lineRule="exact"/>
        <w:jc w:val="center"/>
        <w:rPr>
          <w:b/>
          <w:sz w:val="24"/>
        </w:rPr>
      </w:pPr>
      <w:r>
        <w:rPr>
          <w:rFonts w:hint="eastAsia" w:ascii="宋体" w:hAnsi="宋体"/>
          <w:b/>
          <w:sz w:val="24"/>
        </w:rPr>
        <w:t>请仔细阅读说明书并按说明使用或在药师指导下购买和使用</w:t>
      </w:r>
    </w:p>
    <w:p w14:paraId="07DE136B">
      <w:pPr>
        <w:spacing w:beforeLines="0" w:afterLines="0" w:line="600" w:lineRule="exact"/>
        <w:jc w:val="center"/>
        <w:rPr>
          <w:b/>
          <w:sz w:val="24"/>
        </w:rPr>
      </w:pPr>
    </w:p>
    <w:p w14:paraId="1D1C9F6D">
      <w:pPr>
        <w:widowControl w:val="0"/>
        <w:spacing w:line="54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[药品名称]</w:t>
      </w:r>
    </w:p>
    <w:p w14:paraId="6CAAE161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通用名称：氯雷他定分散片</w:t>
      </w:r>
    </w:p>
    <w:p w14:paraId="066D8877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商品名称：</w:t>
      </w:r>
    </w:p>
    <w:p w14:paraId="54E40C8C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英文名称：</w:t>
      </w:r>
    </w:p>
    <w:p w14:paraId="7F282E2C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汉语拼音：</w:t>
      </w:r>
    </w:p>
    <w:p w14:paraId="3295C260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[成份] 本品每片含氯雷他定5毫克。辅料为：</w:t>
      </w:r>
    </w:p>
    <w:p w14:paraId="06837C49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[性状] </w:t>
      </w:r>
    </w:p>
    <w:p w14:paraId="60D63804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[作用类别] 本品为耳鼻喉科及皮肤科用药类非处方药药品。</w:t>
      </w:r>
    </w:p>
    <w:p w14:paraId="1CE107EB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[适应症] 用于缓解过敏性鼻炎的鼻部或非鼻部症状，如喷嚏、流涕、鼻痒、眼痒及眼部烧灼感等。亦适用于减轻慢性荨麻疹及其他过敏性皮肤病的症状及体征。</w:t>
      </w:r>
    </w:p>
    <w:p w14:paraId="7D8A975C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[规格] 5毫克。</w:t>
      </w:r>
    </w:p>
    <w:p w14:paraId="4B1163C1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[用法用量] 口服，成人及大于12岁的儿童每天1次，每次2片（10毫克）。2～12岁儿童：体重＞30</w:t>
      </w:r>
      <w:bookmarkStart w:id="0" w:name="OLE_LINK4"/>
      <w:bookmarkStart w:id="1" w:name="OLE_LINK5"/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千克</w:t>
      </w:r>
      <w:bookmarkEnd w:id="0"/>
      <w:bookmarkEnd w:id="1"/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，每次2片（10毫克），每天1次；体重≤30千克，每次1片（5毫克），每天1次。</w:t>
      </w:r>
    </w:p>
    <w:p w14:paraId="52B7643D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[不良反应]</w:t>
      </w:r>
    </w:p>
    <w:p w14:paraId="7FA571D7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常见不良反应有乏力、头痛、嗜睡、口干、胃肠道不适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包括恶心、胃炎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以及皮疹等。偶见嗜睡，健忘及晨起面部肢端水肿。罕见不良反应有视觉模糊、血压降低或升高、晕厥、癫痫发作、乳房肿大、脱发、过敏反应、肝功能异常、心动过速、心悸、运动机能亢进、黄疸、肝炎、肝坏死、多形性红斑等。</w:t>
      </w:r>
    </w:p>
    <w:p w14:paraId="5CDD9969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文献报道，约300名6~12岁的儿童患者参加的随机对照临床试验中，每天1次口服氯雷他定10毫克（相当于本品2片）不良反应发生的类别和频率与成人相似，发生率大于2%的不良反应包括神经质、喘鸣、疲劳、运动功能亢进、腹痛、结膜炎、发音困难、不适、上呼吸道感染。氯雷他定10毫克所致的发育终止的发生率小于1%。</w:t>
      </w:r>
    </w:p>
    <w:p w14:paraId="05626CE9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在一项双盲、安慰剂对照的临床试验中，60 名 2~5 岁患儿接受氯雷他定每天 5毫克（相当于本品1片），持续14 天，未观察到非预期的不良反应。与2～5岁患者使用氯雷他定糖浆治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</w:rPr>
        <w:t>疗有关的发生率在2～3%的不良反应包括：腹泻、鼻出血、咽炎、流感样症状、疲劳、口炎、牙齿不适、耳痛、病毒感染和皮疹。</w:t>
      </w:r>
    </w:p>
    <w:p w14:paraId="331061F7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除了上述发生率大于2%的不良反应以外，还发现以下不良反应：</w:t>
      </w:r>
    </w:p>
    <w:p w14:paraId="72494E46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自主神经系统：流泪、流涎、潮红、感觉迟钝、阳萎、多汗、口干。</w:t>
      </w:r>
    </w:p>
    <w:p w14:paraId="57F2111C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一般状况：血管神经性水肿、虚弱、背痛、视物模糊、胸痛、耳痛、眼痛、腿部抽筋、抑郁、寒颤、耳鸣、病毒感染、体重增加。</w:t>
      </w:r>
    </w:p>
    <w:p w14:paraId="0755882E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心血管系统：高血压、低血压、心悸、室上性快速性心律失常、晕厥、心动过速。</w:t>
      </w:r>
    </w:p>
    <w:p w14:paraId="12827256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中枢和外周神经系统：眼脸痉挛、眩晕、发音困难、张力过强、偏头痛、感觉异常、震颤。</w:t>
      </w:r>
    </w:p>
    <w:p w14:paraId="600F83DC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胃肠道系统：味觉改变、食欲下降、便秘、腹泻、消化不良、胃胀、胃炎、呃逆、食欲增加、恶心、呕吐。</w:t>
      </w:r>
    </w:p>
    <w:p w14:paraId="745903A6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肌肉骨骼系统：关节痛、肌痛。</w:t>
      </w:r>
    </w:p>
    <w:p w14:paraId="3F98DCE6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精神神经系统：激动、健忘、焦虑、精神错乱、性欲下降、抑郁、注意力不集中、失眠、易怒。</w:t>
      </w:r>
    </w:p>
    <w:p w14:paraId="72206721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生殖系统：乳房痛、痛经、月经过多、阴道炎。</w:t>
      </w:r>
    </w:p>
    <w:p w14:paraId="39B82DE7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呼吸系统：支气管炎、支气管痉挛、咳嗽、呼吸困难、咯血、喉炎、鼻干、咽炎、鼻窦炎、喷嚏。</w:t>
      </w:r>
    </w:p>
    <w:p w14:paraId="1485904E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皮肤及附属器官：皮炎、毛发干燥、皮肤干燥、光敏反应、瘙痒症、紫癜、风疹。</w:t>
      </w:r>
    </w:p>
    <w:p w14:paraId="2E885721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泌尿系统：尿频、尿液外观颜色改变、尿失禁、尿潴留。</w:t>
      </w:r>
    </w:p>
    <w:p w14:paraId="49AB7097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另外，服用本品还可偶发肝功异常（包括黄疸、肝炎和肝坏死）、秃发、过敏反应、乳腺增生、多形性红斑、周围性水肿、血小板减少症、癫痫。</w:t>
      </w:r>
    </w:p>
    <w:p w14:paraId="156D8135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[禁忌]</w:t>
      </w:r>
    </w:p>
    <w:p w14:paraId="10DAB6E6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对本品任何成份过敏者或特异体质的患者禁用。</w:t>
      </w:r>
    </w:p>
    <w:p w14:paraId="4B660358">
      <w:pPr>
        <w:widowControl w:val="0"/>
        <w:spacing w:line="54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[注意事项]</w:t>
      </w:r>
    </w:p>
    <w:p w14:paraId="67CB75EC">
      <w:pPr>
        <w:widowControl w:val="0"/>
        <w:spacing w:line="54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1.肝功能不全的患者请在医生指导下使用。</w:t>
      </w:r>
    </w:p>
    <w:p w14:paraId="5B81ACF1">
      <w:pPr>
        <w:widowControl w:val="0"/>
        <w:spacing w:line="54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2.妊娠期及哺乳期妇女慎用。</w:t>
      </w:r>
    </w:p>
    <w:p w14:paraId="1A2B11D0">
      <w:pPr>
        <w:widowControl w:val="0"/>
        <w:spacing w:line="54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3.2岁以下儿童用药应咨询医师。</w:t>
      </w:r>
    </w:p>
    <w:p w14:paraId="75F48A26">
      <w:pPr>
        <w:widowControl w:val="0"/>
        <w:spacing w:line="54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4.使用本品后偶有心律失常报道，有心律失常病史者应慎用。</w:t>
      </w:r>
    </w:p>
    <w:p w14:paraId="58F8E514">
      <w:pPr>
        <w:widowControl w:val="0"/>
        <w:spacing w:line="54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5.肾功能不全者慎用。</w:t>
      </w:r>
    </w:p>
    <w:p w14:paraId="3F4B11D0">
      <w:pPr>
        <w:widowControl w:val="0"/>
        <w:spacing w:line="54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6.在做皮试前约48小时左右应中止使用本品，因抗组胺药能阻止或降低皮试的阳性反应发生。</w:t>
      </w:r>
    </w:p>
    <w:p w14:paraId="2BD6F47C">
      <w:pPr>
        <w:widowControl w:val="0"/>
        <w:spacing w:line="54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7.对本品过敏者禁用，过敏体质者慎用。</w:t>
      </w:r>
    </w:p>
    <w:p w14:paraId="638B6969">
      <w:pPr>
        <w:widowControl w:val="0"/>
        <w:spacing w:line="54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8.本品性状发生改变时禁止使用。</w:t>
      </w:r>
    </w:p>
    <w:p w14:paraId="6756C990">
      <w:pPr>
        <w:widowControl w:val="0"/>
        <w:spacing w:line="54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9.请将本品放在儿童不能接触的地方。</w:t>
      </w:r>
    </w:p>
    <w:p w14:paraId="20DFE286">
      <w:pPr>
        <w:widowControl w:val="0"/>
        <w:spacing w:line="54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10.儿童必须在成人监护下使用。</w:t>
      </w:r>
    </w:p>
    <w:p w14:paraId="42A4C2AB">
      <w:pPr>
        <w:widowControl w:val="0"/>
        <w:spacing w:line="54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11.如正在使用其他药品，使用本品前请咨询医师或药师。</w:t>
      </w:r>
    </w:p>
    <w:p w14:paraId="2FE90F3D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[药物相互作用] </w:t>
      </w:r>
    </w:p>
    <w:p w14:paraId="7F539F86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1.同时服用酮康唑、大环内酯类抗生素、西咪替丁、茶碱等药物，会提高氯雷他定在血浆中的浓度，应慎用。其他已知能抑制肝脏代谢的药物，在未明确与氯雷他定相互作用前应谨慎合用。</w:t>
      </w:r>
    </w:p>
    <w:p w14:paraId="6B272D0B">
      <w:pPr>
        <w:widowControl w:val="0"/>
        <w:tabs>
          <w:tab w:val="left" w:pos="6510"/>
        </w:tabs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2.如与其他药物同时使用可能发生药物相互作用，详情请咨询医师或药师</w:t>
      </w:r>
    </w:p>
    <w:p w14:paraId="47D93275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[药理作用] 本品为高效、作用持久的三环类抗组胺药，为选择性外周H1受体拮抗剂。可缓解过敏反应引起的各种症状。</w:t>
      </w:r>
    </w:p>
    <w:p w14:paraId="0422F7B8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[贮藏]</w:t>
      </w:r>
    </w:p>
    <w:p w14:paraId="6B5028FE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[包装]</w:t>
      </w:r>
    </w:p>
    <w:p w14:paraId="3CB4EC74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[有效期]</w:t>
      </w:r>
    </w:p>
    <w:p w14:paraId="4B470A5A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[执行标准]</w:t>
      </w:r>
    </w:p>
    <w:p w14:paraId="6A2A8F19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[批准文号]</w:t>
      </w:r>
    </w:p>
    <w:p w14:paraId="384482E5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[说明书修订日期]</w:t>
      </w:r>
    </w:p>
    <w:p w14:paraId="6B9CFF5F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[药品上市许可持有人]</w:t>
      </w:r>
    </w:p>
    <w:p w14:paraId="4BD6EC32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名    称：</w:t>
      </w:r>
    </w:p>
    <w:p w14:paraId="0BFD6230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注册地址：</w:t>
      </w:r>
    </w:p>
    <w:p w14:paraId="0B19C6A1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邮政编码：</w:t>
      </w:r>
    </w:p>
    <w:p w14:paraId="6374B008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电话号码：</w:t>
      </w:r>
    </w:p>
    <w:p w14:paraId="6C4FDAD2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传真号码：</w:t>
      </w:r>
    </w:p>
    <w:p w14:paraId="274AF5B2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网    址：</w:t>
      </w:r>
    </w:p>
    <w:p w14:paraId="48DC1DD5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[生产企业]</w:t>
      </w:r>
    </w:p>
    <w:p w14:paraId="599438D8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名    称：</w:t>
      </w:r>
    </w:p>
    <w:p w14:paraId="6E98FDDE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生产地址：</w:t>
      </w:r>
    </w:p>
    <w:p w14:paraId="1B924C92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邮政编码：</w:t>
      </w:r>
    </w:p>
    <w:p w14:paraId="55C04ED2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电话号码：</w:t>
      </w:r>
    </w:p>
    <w:p w14:paraId="4CCE4B3D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传真号码：</w:t>
      </w:r>
    </w:p>
    <w:p w14:paraId="3173AF08">
      <w:pPr>
        <w:widowControl w:val="0"/>
        <w:spacing w:line="54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网    址： </w:t>
      </w:r>
    </w:p>
    <w:p w14:paraId="0FA2E591">
      <w:pPr>
        <w:widowControl w:val="0"/>
        <w:spacing w:line="54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如有问题可与药品上市许可持有人联系</w:t>
      </w:r>
    </w:p>
    <w:p w14:paraId="1A65C8A1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47828"/>
    <w:rsid w:val="63E4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2026-07-01T09:13:00Z</dcterms:created>
  <dc:creator>新祺</dc:creator>
  <cp:lastModifiedBy>新祺</cp:lastModifiedBy>
  <dcterms:modified xsi:type="dcterms:W3CDTF">2026-07-01T09:14:13Z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F5B2C0FE281C4FC19211C16E96BA31DB_11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